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DA" w:rsidRPr="00E044C5" w:rsidRDefault="00B12CDA" w:rsidP="00C5735D">
      <w:pPr>
        <w:keepLines w:val="0"/>
        <w:tabs>
          <w:tab w:val="left" w:pos="438"/>
          <w:tab w:val="left" w:pos="11340"/>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BE6B89">
        <w:rPr>
          <w:rFonts w:ascii="Arial" w:hAnsi="Arial" w:cs="Arial"/>
          <w:b/>
          <w:sz w:val="28"/>
          <w:szCs w:val="28"/>
          <w:u w:val="single"/>
        </w:rPr>
        <w:t>5</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Default="00B12CDA">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Pr="00E044C5" w:rsidRDefault="007203E5">
      <w:pPr>
        <w:keepLines w:val="0"/>
        <w:rPr>
          <w:rFonts w:ascii="Arial" w:hAnsi="Arial" w:cs="Arial"/>
          <w:color w:val="auto"/>
          <w:sz w:val="24"/>
          <w:szCs w:val="24"/>
        </w:rPr>
        <w:sectPr w:rsidR="007203E5"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BF18D7">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0.25pt;height:113.25pt;visibility:visible;mso-wrap-style:square">
            <v:imagedata r:id="rId11" o:title=""/>
          </v:shape>
        </w:pict>
      </w: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w:t>
      </w:r>
      <w:r w:rsidR="00BE6B89">
        <w:rPr>
          <w:rFonts w:ascii="Arial" w:hAnsi="Arial" w:cs="Arial"/>
          <w:u w:val="single"/>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0F7DE3" w:rsidP="000F7DE3">
            <w:pPr>
              <w:keepLines w:val="0"/>
              <w:tabs>
                <w:tab w:val="right" w:pos="249"/>
              </w:tabs>
              <w:rPr>
                <w:rFonts w:ascii="Arial" w:hAnsi="Arial" w:cs="Arial"/>
              </w:rPr>
            </w:pPr>
            <w:r>
              <w:rPr>
                <w:rFonts w:ascii="Arial" w:hAnsi="Arial" w:cs="Arial"/>
              </w:rPr>
              <w:tab/>
              <w:t xml:space="preserve">    5-7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0F7DE3">
            <w:pPr>
              <w:keepLines w:val="0"/>
              <w:jc w:val="right"/>
              <w:rPr>
                <w:rFonts w:ascii="Arial" w:hAnsi="Arial" w:cs="Arial"/>
              </w:rPr>
            </w:pPr>
            <w:r>
              <w:rPr>
                <w:rFonts w:ascii="Arial" w:hAnsi="Arial" w:cs="Arial"/>
              </w:rPr>
              <w:t>8</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0F7DE3" w:rsidP="000F7DE3">
            <w:pPr>
              <w:keepLines w:val="0"/>
              <w:jc w:val="right"/>
              <w:rPr>
                <w:rFonts w:ascii="Arial" w:hAnsi="Arial" w:cs="Arial"/>
              </w:rPr>
            </w:pPr>
            <w:r>
              <w:rPr>
                <w:rFonts w:ascii="Arial" w:hAnsi="Arial" w:cs="Arial"/>
              </w:rPr>
              <w:t>9</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0F7DE3">
            <w:pPr>
              <w:keepLines w:val="0"/>
              <w:jc w:val="right"/>
              <w:rPr>
                <w:rFonts w:ascii="Arial" w:hAnsi="Arial" w:cs="Arial"/>
              </w:rPr>
            </w:pPr>
            <w:r>
              <w:rPr>
                <w:rFonts w:ascii="Arial" w:hAnsi="Arial" w:cs="Arial"/>
              </w:rPr>
              <w:t>10</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0F7DE3" w:rsidP="000F7DE3">
            <w:pPr>
              <w:keepLines w:val="0"/>
              <w:jc w:val="right"/>
              <w:rPr>
                <w:rFonts w:ascii="Arial" w:hAnsi="Arial" w:cs="Arial"/>
              </w:rPr>
            </w:pPr>
            <w:r>
              <w:rPr>
                <w:rFonts w:ascii="Arial" w:hAnsi="Arial" w:cs="Arial"/>
              </w:rPr>
              <w:t>11</w:t>
            </w:r>
            <w:r w:rsidR="00B12CDA">
              <w:rPr>
                <w:rFonts w:ascii="Arial" w:hAnsi="Arial" w:cs="Arial"/>
              </w:rPr>
              <w:t>-1</w:t>
            </w:r>
            <w:r>
              <w:rPr>
                <w:rFonts w:ascii="Arial" w:hAnsi="Arial" w:cs="Arial"/>
              </w:rPr>
              <w:t>3</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1</w:t>
            </w:r>
            <w:r w:rsidR="000F7DE3">
              <w:rPr>
                <w:rFonts w:ascii="Arial" w:hAnsi="Arial" w:cs="Arial"/>
              </w:rPr>
              <w:t>4</w:t>
            </w:r>
          </w:p>
        </w:tc>
      </w:tr>
    </w:tbl>
    <w:p w:rsidR="00B12CDA" w:rsidRPr="00E044C5" w:rsidRDefault="00B12CDA">
      <w:pPr>
        <w:keepLines w:val="0"/>
        <w:rPr>
          <w:rFonts w:ascii="Arial" w:hAnsi="Arial" w:cs="Arial"/>
          <w:color w:val="auto"/>
          <w:sz w:val="24"/>
          <w:szCs w:val="24"/>
        </w:rPr>
        <w:sectPr w:rsidR="00B12CDA" w:rsidRPr="00E044C5">
          <w:footerReference w:type="default" r:id="rId12"/>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BE6B89">
        <w:rPr>
          <w:rFonts w:ascii="Arial" w:hAnsi="Arial" w:cs="Arial"/>
          <w:u w:val="single"/>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S Mytton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M Welsh</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4029AE">
        <w:rPr>
          <w:rFonts w:ascii="Arial" w:hAnsi="Arial" w:cs="Arial"/>
        </w:rPr>
        <w:t>S Cowley</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r w:rsidR="007F6874">
        <w:rPr>
          <w:rFonts w:ascii="Arial" w:hAnsi="Arial" w:cs="Arial"/>
        </w:rPr>
        <w:t>J</w:t>
      </w:r>
      <w:r w:rsidR="00E608FB">
        <w:rPr>
          <w:rFonts w:ascii="Arial" w:hAnsi="Arial" w:cs="Arial"/>
        </w:rPr>
        <w:t xml:space="preserve"> </w:t>
      </w:r>
      <w:r w:rsidR="007F6874">
        <w:rPr>
          <w:rFonts w:ascii="Arial" w:hAnsi="Arial" w:cs="Arial"/>
        </w:rPr>
        <w:t>Ward</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                                                                                            </w:t>
      </w:r>
      <w:r w:rsidR="00E608FB">
        <w:rPr>
          <w:rFonts w:ascii="Arial" w:hAnsi="Arial" w:cs="Arial"/>
        </w:rPr>
        <w:t xml:space="preserve">A </w:t>
      </w:r>
      <w:r w:rsidR="007F6874">
        <w:rPr>
          <w:rFonts w:ascii="Arial" w:hAnsi="Arial" w:cs="Arial"/>
        </w:rPr>
        <w:t>Smith</w:t>
      </w:r>
    </w:p>
    <w:p w:rsidR="00B12CDA" w:rsidRDefault="00626365">
      <w:pPr>
        <w:keepLines w:val="0"/>
        <w:tabs>
          <w:tab w:val="left" w:pos="438"/>
        </w:tabs>
        <w:ind w:left="438" w:right="438"/>
        <w:rPr>
          <w:rFonts w:ascii="Arial" w:hAnsi="Arial" w:cs="Arial"/>
        </w:rPr>
      </w:pPr>
      <w:r>
        <w:rPr>
          <w:rFonts w:ascii="Arial" w:hAnsi="Arial" w:cs="Arial"/>
        </w:rPr>
        <w:t xml:space="preserve">                                                             </w:t>
      </w:r>
      <w:r w:rsidR="007F6874">
        <w:rPr>
          <w:rFonts w:ascii="Arial" w:hAnsi="Arial" w:cs="Arial"/>
        </w:rPr>
        <w:t xml:space="preserve">                               </w:t>
      </w:r>
      <w:r w:rsidR="004029AE">
        <w:rPr>
          <w:rFonts w:ascii="Arial" w:hAnsi="Arial" w:cs="Arial"/>
        </w:rPr>
        <w:t>J Watton</w:t>
      </w:r>
    </w:p>
    <w:p w:rsidR="004029AE" w:rsidRDefault="004029AE">
      <w:pPr>
        <w:keepLines w:val="0"/>
        <w:tabs>
          <w:tab w:val="left" w:pos="438"/>
        </w:tabs>
        <w:ind w:left="438" w:right="438"/>
        <w:rPr>
          <w:rFonts w:ascii="Arial" w:hAnsi="Arial" w:cs="Arial"/>
        </w:rPr>
      </w:pPr>
      <w:r>
        <w:rPr>
          <w:rFonts w:ascii="Arial" w:hAnsi="Arial" w:cs="Arial"/>
        </w:rPr>
        <w:t xml:space="preserve">                                                                                            B Hodder</w:t>
      </w:r>
    </w:p>
    <w:p w:rsidR="004029AE" w:rsidRDefault="004029AE">
      <w:pPr>
        <w:keepLines w:val="0"/>
        <w:tabs>
          <w:tab w:val="left" w:pos="438"/>
        </w:tabs>
        <w:ind w:left="438" w:right="438"/>
        <w:rPr>
          <w:rFonts w:ascii="Arial" w:hAnsi="Arial" w:cs="Arial"/>
        </w:rPr>
      </w:pPr>
      <w:r>
        <w:rPr>
          <w:rFonts w:ascii="Arial" w:hAnsi="Arial" w:cs="Arial"/>
        </w:rPr>
        <w:t xml:space="preserve">                                                                                            M Davies</w:t>
      </w:r>
    </w:p>
    <w:p w:rsidR="004029AE" w:rsidRPr="00E044C5" w:rsidRDefault="004029AE">
      <w:pPr>
        <w:keepLines w:val="0"/>
        <w:tabs>
          <w:tab w:val="left" w:pos="438"/>
        </w:tabs>
        <w:ind w:left="438" w:right="438"/>
        <w:rPr>
          <w:rFonts w:ascii="Arial" w:hAnsi="Arial" w:cs="Arial"/>
        </w:rPr>
      </w:pPr>
      <w:r>
        <w:rPr>
          <w:rFonts w:ascii="Arial" w:hAnsi="Arial" w:cs="Arial"/>
        </w:rPr>
        <w:t xml:space="preserve">                                                                                            J Harding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3"/>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BE6B89">
        <w:rPr>
          <w:rFonts w:ascii="Arial" w:hAnsi="Arial" w:cs="Arial"/>
          <w:u w:val="single"/>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w:t>
      </w:r>
      <w:r w:rsidR="00BE6B89">
        <w:rPr>
          <w:rFonts w:ascii="Arial" w:hAnsi="Arial" w:cs="Arial"/>
        </w:rPr>
        <w:t>5</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E608FB" w:rsidRDefault="007F6874">
      <w:pPr>
        <w:keepLines w:val="0"/>
        <w:tabs>
          <w:tab w:val="left" w:pos="438"/>
        </w:tabs>
        <w:ind w:left="438" w:right="438"/>
        <w:rPr>
          <w:rFonts w:ascii="Arial" w:hAnsi="Arial" w:cs="Arial"/>
        </w:rPr>
      </w:pPr>
      <w:r>
        <w:rPr>
          <w:rFonts w:ascii="Arial" w:hAnsi="Arial" w:cs="Arial"/>
        </w:rPr>
        <w:t xml:space="preserve">S Mytton </w:t>
      </w:r>
    </w:p>
    <w:p w:rsidR="00E608FB" w:rsidRDefault="00E608FB">
      <w:pPr>
        <w:keepLines w:val="0"/>
        <w:tabs>
          <w:tab w:val="left" w:pos="438"/>
        </w:tabs>
        <w:ind w:left="438" w:right="438"/>
        <w:rPr>
          <w:rFonts w:ascii="Arial" w:hAnsi="Arial" w:cs="Arial"/>
        </w:rPr>
      </w:pPr>
      <w:r>
        <w:rPr>
          <w:rFonts w:ascii="Arial" w:hAnsi="Arial" w:cs="Arial"/>
        </w:rPr>
        <w:t xml:space="preserve">A Smith </w:t>
      </w:r>
    </w:p>
    <w:p w:rsidR="007F6874" w:rsidRDefault="007F6874">
      <w:pPr>
        <w:keepLines w:val="0"/>
        <w:tabs>
          <w:tab w:val="left" w:pos="438"/>
        </w:tabs>
        <w:ind w:left="438" w:right="438"/>
        <w:rPr>
          <w:rFonts w:ascii="Arial" w:hAnsi="Arial" w:cs="Arial"/>
        </w:rPr>
      </w:pPr>
      <w:r>
        <w:rPr>
          <w:rFonts w:ascii="Arial" w:hAnsi="Arial" w:cs="Arial"/>
        </w:rPr>
        <w:t>A Deuchar (</w:t>
      </w:r>
      <w:r w:rsidR="004029AE">
        <w:rPr>
          <w:rFonts w:ascii="Arial" w:hAnsi="Arial" w:cs="Arial"/>
        </w:rPr>
        <w:t>Resigned November</w:t>
      </w:r>
      <w:r>
        <w:rPr>
          <w:rFonts w:ascii="Arial" w:hAnsi="Arial" w:cs="Arial"/>
        </w:rPr>
        <w:t xml:space="preserve"> 2014)</w:t>
      </w:r>
    </w:p>
    <w:p w:rsidR="007F6874" w:rsidRDefault="007F6874">
      <w:pPr>
        <w:keepLines w:val="0"/>
        <w:tabs>
          <w:tab w:val="left" w:pos="438"/>
        </w:tabs>
        <w:ind w:left="438" w:right="438"/>
        <w:rPr>
          <w:rFonts w:ascii="Arial" w:hAnsi="Arial" w:cs="Arial"/>
        </w:rPr>
      </w:pPr>
      <w:r>
        <w:rPr>
          <w:rFonts w:ascii="Arial" w:hAnsi="Arial" w:cs="Arial"/>
        </w:rPr>
        <w:t>M Welsh</w:t>
      </w:r>
    </w:p>
    <w:p w:rsidR="007F6874" w:rsidRDefault="007F6874">
      <w:pPr>
        <w:keepLines w:val="0"/>
        <w:tabs>
          <w:tab w:val="left" w:pos="438"/>
        </w:tabs>
        <w:ind w:left="438" w:right="438"/>
        <w:rPr>
          <w:rFonts w:ascii="Arial" w:hAnsi="Arial" w:cs="Arial"/>
        </w:rPr>
      </w:pPr>
      <w:r>
        <w:rPr>
          <w:rFonts w:ascii="Arial" w:hAnsi="Arial" w:cs="Arial"/>
        </w:rPr>
        <w:t>D Franklin (</w:t>
      </w:r>
      <w:r w:rsidR="004029AE">
        <w:rPr>
          <w:rFonts w:ascii="Arial" w:hAnsi="Arial" w:cs="Arial"/>
        </w:rPr>
        <w:t>Resigned August 2015</w:t>
      </w:r>
      <w:r>
        <w:rPr>
          <w:rFonts w:ascii="Arial" w:hAnsi="Arial" w:cs="Arial"/>
        </w:rPr>
        <w:t>)</w:t>
      </w:r>
    </w:p>
    <w:p w:rsidR="004029AE" w:rsidRDefault="004029AE">
      <w:pPr>
        <w:keepLines w:val="0"/>
        <w:tabs>
          <w:tab w:val="left" w:pos="438"/>
        </w:tabs>
        <w:ind w:left="438" w:right="438"/>
        <w:rPr>
          <w:rFonts w:ascii="Arial" w:hAnsi="Arial" w:cs="Arial"/>
        </w:rPr>
      </w:pPr>
      <w:r>
        <w:rPr>
          <w:rFonts w:ascii="Arial" w:hAnsi="Arial" w:cs="Arial"/>
        </w:rPr>
        <w:t>S Cowley (Appointed November 2014)</w:t>
      </w:r>
    </w:p>
    <w:p w:rsidR="004029AE" w:rsidRDefault="004029AE">
      <w:pPr>
        <w:keepLines w:val="0"/>
        <w:tabs>
          <w:tab w:val="left" w:pos="438"/>
        </w:tabs>
        <w:ind w:left="438" w:right="438"/>
        <w:rPr>
          <w:rFonts w:ascii="Arial" w:hAnsi="Arial" w:cs="Arial"/>
        </w:rPr>
      </w:pPr>
      <w:r>
        <w:rPr>
          <w:rFonts w:ascii="Arial" w:hAnsi="Arial" w:cs="Arial"/>
        </w:rPr>
        <w:t>J Watton (Appointed November 2014)</w:t>
      </w:r>
    </w:p>
    <w:p w:rsidR="004029AE" w:rsidRDefault="004029AE">
      <w:pPr>
        <w:keepLines w:val="0"/>
        <w:tabs>
          <w:tab w:val="left" w:pos="438"/>
        </w:tabs>
        <w:ind w:left="438" w:right="438"/>
        <w:rPr>
          <w:rFonts w:ascii="Arial" w:hAnsi="Arial" w:cs="Arial"/>
        </w:rPr>
      </w:pPr>
      <w:r>
        <w:rPr>
          <w:rFonts w:ascii="Arial" w:hAnsi="Arial" w:cs="Arial"/>
        </w:rPr>
        <w:t>B Hodder (Appointed January 2015)</w:t>
      </w:r>
    </w:p>
    <w:p w:rsidR="004029AE" w:rsidRDefault="004029AE">
      <w:pPr>
        <w:keepLines w:val="0"/>
        <w:tabs>
          <w:tab w:val="left" w:pos="438"/>
        </w:tabs>
        <w:ind w:left="438" w:right="438"/>
        <w:rPr>
          <w:rFonts w:ascii="Arial" w:hAnsi="Arial" w:cs="Arial"/>
        </w:rPr>
      </w:pPr>
      <w:r>
        <w:rPr>
          <w:rFonts w:ascii="Arial" w:hAnsi="Arial" w:cs="Arial"/>
        </w:rPr>
        <w:t>M Davies (Appointed February 2015)</w:t>
      </w:r>
    </w:p>
    <w:p w:rsidR="004029AE" w:rsidRPr="00E044C5" w:rsidRDefault="004029AE">
      <w:pPr>
        <w:keepLines w:val="0"/>
        <w:tabs>
          <w:tab w:val="left" w:pos="438"/>
        </w:tabs>
        <w:ind w:left="438" w:right="438"/>
        <w:rPr>
          <w:rFonts w:ascii="Arial" w:hAnsi="Arial" w:cs="Arial"/>
        </w:rPr>
      </w:pPr>
      <w:r>
        <w:rPr>
          <w:rFonts w:ascii="Arial" w:hAnsi="Arial" w:cs="Arial"/>
        </w:rPr>
        <w:t>J Harding (Appointed February 2015)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BE6B89">
        <w:rPr>
          <w:rFonts w:ascii="Arial" w:hAnsi="Arial" w:cs="Arial"/>
        </w:rPr>
        <w:t>5</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BE6B89">
        <w:rPr>
          <w:rFonts w:ascii="Arial" w:hAnsi="Arial" w:cs="Arial"/>
        </w:rPr>
        <w:t>5</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4029AE">
      <w:pPr>
        <w:keepLines w:val="0"/>
        <w:tabs>
          <w:tab w:val="left" w:pos="438"/>
          <w:tab w:val="decimal" w:pos="7818"/>
          <w:tab w:val="decimal" w:pos="10453"/>
        </w:tabs>
        <w:ind w:left="438" w:right="438"/>
        <w:rPr>
          <w:rFonts w:ascii="Arial" w:hAnsi="Arial" w:cs="Arial"/>
        </w:rPr>
      </w:pPr>
      <w:r>
        <w:rPr>
          <w:rFonts w:ascii="Arial" w:hAnsi="Arial" w:cs="Arial"/>
        </w:rPr>
        <w:t>S Cowley</w:t>
      </w:r>
      <w:r w:rsidR="00B12CDA" w:rsidRPr="00E044C5">
        <w:rPr>
          <w:rFonts w:ascii="Arial" w:hAnsi="Arial" w:cs="Arial"/>
        </w:rPr>
        <w:tab/>
        <w:t>1</w:t>
      </w:r>
      <w:r w:rsidR="00B12CDA" w:rsidRPr="00E044C5">
        <w:rPr>
          <w:rFonts w:ascii="Arial" w:hAnsi="Arial" w:cs="Arial"/>
        </w:rPr>
        <w:tab/>
      </w:r>
    </w:p>
    <w:p w:rsidR="00B12CDA" w:rsidRPr="00E044C5" w:rsidRDefault="007F6874">
      <w:pPr>
        <w:keepLines w:val="0"/>
        <w:tabs>
          <w:tab w:val="left" w:pos="438"/>
          <w:tab w:val="decimal" w:pos="7817"/>
          <w:tab w:val="decimal" w:pos="10452"/>
        </w:tabs>
        <w:ind w:left="438" w:right="438"/>
        <w:rPr>
          <w:rFonts w:ascii="Arial" w:hAnsi="Arial" w:cs="Arial"/>
        </w:rPr>
      </w:pPr>
      <w:r>
        <w:rPr>
          <w:rFonts w:ascii="Arial" w:hAnsi="Arial" w:cs="Arial"/>
        </w:rPr>
        <w:t>M Welsh</w:t>
      </w:r>
      <w:r w:rsidR="00B12CDA" w:rsidRPr="00E044C5">
        <w:rPr>
          <w:rFonts w:ascii="Arial" w:hAnsi="Arial" w:cs="Arial"/>
        </w:rPr>
        <w:tab/>
        <w:t>1</w:t>
      </w:r>
    </w:p>
    <w:p w:rsidR="00E608FB" w:rsidRDefault="00E608FB">
      <w:pPr>
        <w:keepLines w:val="0"/>
        <w:tabs>
          <w:tab w:val="left" w:pos="438"/>
          <w:tab w:val="decimal" w:pos="7817"/>
          <w:tab w:val="decimal" w:pos="10452"/>
        </w:tabs>
        <w:ind w:left="438" w:right="438"/>
        <w:rPr>
          <w:rFonts w:ascii="Arial" w:hAnsi="Arial" w:cs="Arial"/>
        </w:rPr>
      </w:pPr>
      <w:r>
        <w:rPr>
          <w:rFonts w:ascii="Arial" w:hAnsi="Arial" w:cs="Arial"/>
        </w:rPr>
        <w:t>S Mytton                                                                                                                     1</w:t>
      </w:r>
    </w:p>
    <w:p w:rsidR="00B12CDA" w:rsidRPr="00E044C5" w:rsidRDefault="00E608FB">
      <w:pPr>
        <w:keepLines w:val="0"/>
        <w:tabs>
          <w:tab w:val="left" w:pos="438"/>
          <w:tab w:val="decimal" w:pos="7817"/>
          <w:tab w:val="decimal" w:pos="10452"/>
        </w:tabs>
        <w:ind w:left="438" w:right="438"/>
        <w:rPr>
          <w:rFonts w:ascii="Arial" w:hAnsi="Arial" w:cs="Arial"/>
        </w:rPr>
      </w:pPr>
      <w:r>
        <w:rPr>
          <w:rFonts w:ascii="Arial" w:hAnsi="Arial" w:cs="Arial"/>
        </w:rPr>
        <w:t>A Smith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rsidR="004029AE" w:rsidRDefault="004029AE">
      <w:pPr>
        <w:keepLines w:val="0"/>
        <w:tabs>
          <w:tab w:val="left" w:pos="438"/>
          <w:tab w:val="decimal" w:pos="7817"/>
          <w:tab w:val="decimal" w:pos="10452"/>
        </w:tabs>
        <w:ind w:left="438" w:right="438"/>
        <w:rPr>
          <w:rFonts w:ascii="Arial" w:hAnsi="Arial" w:cs="Arial"/>
        </w:rPr>
      </w:pPr>
      <w:r>
        <w:rPr>
          <w:rFonts w:ascii="Arial" w:hAnsi="Arial" w:cs="Arial"/>
        </w:rPr>
        <w:t xml:space="preserve">J Watton  </w:t>
      </w:r>
      <w:r w:rsidR="00626365">
        <w:rPr>
          <w:rFonts w:ascii="Arial" w:hAnsi="Arial" w:cs="Arial"/>
        </w:rPr>
        <w:t xml:space="preserve">                                                                                                                   1</w:t>
      </w:r>
      <w:r w:rsidR="00B12CDA" w:rsidRPr="00E044C5">
        <w:rPr>
          <w:rFonts w:ascii="Arial" w:hAnsi="Arial" w:cs="Arial"/>
        </w:rPr>
        <w:t xml:space="preserve">     </w:t>
      </w:r>
    </w:p>
    <w:p w:rsidR="004029AE" w:rsidRDefault="004029AE">
      <w:pPr>
        <w:keepLines w:val="0"/>
        <w:tabs>
          <w:tab w:val="left" w:pos="438"/>
          <w:tab w:val="decimal" w:pos="7817"/>
          <w:tab w:val="decimal" w:pos="10452"/>
        </w:tabs>
        <w:ind w:left="438" w:right="438"/>
        <w:rPr>
          <w:rFonts w:ascii="Arial" w:hAnsi="Arial" w:cs="Arial"/>
        </w:rPr>
      </w:pPr>
      <w:r>
        <w:rPr>
          <w:rFonts w:ascii="Arial" w:hAnsi="Arial" w:cs="Arial"/>
        </w:rPr>
        <w:t>B Hodder                                                                                                                    1</w:t>
      </w:r>
    </w:p>
    <w:p w:rsidR="004029AE" w:rsidRDefault="004029AE">
      <w:pPr>
        <w:keepLines w:val="0"/>
        <w:tabs>
          <w:tab w:val="left" w:pos="438"/>
          <w:tab w:val="decimal" w:pos="7817"/>
          <w:tab w:val="decimal" w:pos="10452"/>
        </w:tabs>
        <w:ind w:left="438" w:right="438"/>
        <w:rPr>
          <w:rFonts w:ascii="Arial" w:hAnsi="Arial" w:cs="Arial"/>
        </w:rPr>
      </w:pPr>
      <w:r>
        <w:rPr>
          <w:rFonts w:ascii="Arial" w:hAnsi="Arial" w:cs="Arial"/>
        </w:rPr>
        <w:t>M Davies                                                                                                                    1</w:t>
      </w:r>
    </w:p>
    <w:p w:rsidR="00B12CDA" w:rsidRPr="00E044C5" w:rsidRDefault="004029AE">
      <w:pPr>
        <w:keepLines w:val="0"/>
        <w:tabs>
          <w:tab w:val="left" w:pos="438"/>
          <w:tab w:val="decimal" w:pos="7817"/>
          <w:tab w:val="decimal" w:pos="10452"/>
        </w:tabs>
        <w:ind w:left="438" w:right="438"/>
        <w:rPr>
          <w:rFonts w:ascii="Arial" w:hAnsi="Arial" w:cs="Arial"/>
        </w:rPr>
      </w:pPr>
      <w:r>
        <w:rPr>
          <w:rFonts w:ascii="Arial" w:hAnsi="Arial" w:cs="Arial"/>
        </w:rPr>
        <w:t>J Harding                                                                                                                    1</w:t>
      </w:r>
      <w:r w:rsidR="00B12CDA"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t>
            </w:r>
            <w:r w:rsidRPr="00E044C5">
              <w:rPr>
                <w:rFonts w:ascii="Arial" w:hAnsi="Arial" w:cs="Arial"/>
              </w:rPr>
              <w:lastRenderedPageBreak/>
              <w:t xml:space="preserve">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E6B89">
        <w:rPr>
          <w:rFonts w:ascii="Arial" w:hAnsi="Arial" w:cs="Arial"/>
          <w:u w:val="single"/>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E6B89">
        <w:rPr>
          <w:rFonts w:ascii="Arial" w:hAnsi="Arial" w:cs="Arial"/>
          <w:u w:val="single"/>
        </w:rPr>
        <w:t>5</w:t>
      </w:r>
    </w:p>
    <w:p w:rsidR="00B12CDA" w:rsidRPr="00E044C5" w:rsidRDefault="00B12CDA" w:rsidP="00967E2B">
      <w:pPr>
        <w:keepLines w:val="0"/>
        <w:tabs>
          <w:tab w:val="left" w:pos="438"/>
        </w:tabs>
        <w:ind w:left="438" w:right="438"/>
        <w:jc w:val="center"/>
        <w:rPr>
          <w:rFonts w:ascii="Arial" w:hAnsi="Arial" w:cs="Arial"/>
        </w:rPr>
      </w:pPr>
    </w:p>
    <w:p w:rsidR="00A64F34" w:rsidRDefault="00A64F34">
      <w:pPr>
        <w:tabs>
          <w:tab w:val="left" w:pos="2865"/>
        </w:tabs>
        <w:ind w:left="450"/>
        <w:rPr>
          <w:rFonts w:ascii="Arial" w:hAnsi="Arial" w:cs="Arial"/>
          <w:u w:val="single"/>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Pr="001A23EA" w:rsidRDefault="00B12CDA" w:rsidP="00202E11">
      <w:pPr>
        <w:rPr>
          <w:rFonts w:ascii="Arial" w:hAnsi="Arial" w:cs="Arial"/>
          <w:color w:val="auto"/>
        </w:rPr>
      </w:pPr>
    </w:p>
    <w:p w:rsidR="00740966" w:rsidRPr="00740966" w:rsidRDefault="008D550F" w:rsidP="00740966">
      <w:pPr>
        <w:rPr>
          <w:rFonts w:ascii="Calibri" w:eastAsia="Calibri" w:hAnsi="Calibri"/>
          <w:b/>
          <w:color w:val="auto"/>
          <w:sz w:val="22"/>
          <w:szCs w:val="22"/>
          <w:lang w:val="en-GB"/>
        </w:rPr>
      </w:pPr>
      <w:r>
        <w:rPr>
          <w:sz w:val="22"/>
          <w:szCs w:val="22"/>
        </w:rPr>
        <w:t xml:space="preserve"> </w:t>
      </w:r>
      <w:r w:rsidR="002122D0">
        <w:rPr>
          <w:sz w:val="22"/>
          <w:szCs w:val="22"/>
        </w:rPr>
        <w:t xml:space="preserve"> </w:t>
      </w:r>
    </w:p>
    <w:p w:rsidR="008D550F" w:rsidRPr="008D550F" w:rsidRDefault="00084E7B" w:rsidP="00BE6B89">
      <w:pPr>
        <w:keepLines w:val="0"/>
        <w:widowControl/>
        <w:autoSpaceDE/>
        <w:autoSpaceDN/>
        <w:spacing w:after="200" w:line="276" w:lineRule="auto"/>
        <w:rPr>
          <w:rFonts w:ascii="Calibri" w:eastAsia="Calibri" w:hAnsi="Calibri"/>
          <w:color w:val="auto"/>
          <w:sz w:val="22"/>
          <w:szCs w:val="22"/>
        </w:rPr>
      </w:pPr>
      <w:r w:rsidRPr="00084E7B">
        <w:rPr>
          <w:rFonts w:ascii="Calibri" w:eastAsia="Calibri" w:hAnsi="Calibri"/>
          <w:color w:val="auto"/>
          <w:sz w:val="22"/>
          <w:szCs w:val="22"/>
        </w:rPr>
        <w:br w:type="page"/>
      </w:r>
      <w:r w:rsidR="00BE6B89" w:rsidRPr="008D550F">
        <w:rPr>
          <w:rFonts w:ascii="Calibri" w:eastAsia="Calibri" w:hAnsi="Calibri"/>
          <w:color w:val="auto"/>
          <w:sz w:val="22"/>
          <w:szCs w:val="22"/>
        </w:rPr>
        <w:lastRenderedPageBreak/>
        <w:t xml:space="preserve"> </w:t>
      </w:r>
    </w:p>
    <w:p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BE6B89">
        <w:rPr>
          <w:rFonts w:ascii="Arial" w:hAnsi="Arial" w:cs="Arial"/>
        </w:rPr>
        <w:t>5</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20</w:t>
            </w:r>
            <w:r w:rsidR="006B41E1">
              <w:rPr>
                <w:rFonts w:ascii="Arial" w:hAnsi="Arial" w:cs="Arial"/>
              </w:rPr>
              <w:t>1</w:t>
            </w:r>
            <w:r w:rsidR="00B14CB0">
              <w:rPr>
                <w:rFonts w:ascii="Arial" w:hAnsi="Arial" w:cs="Arial"/>
              </w:rPr>
              <w:t>4</w:t>
            </w:r>
            <w:r w:rsidRPr="00E044C5">
              <w:rPr>
                <w:rFonts w:ascii="Arial" w:hAnsi="Arial" w:cs="Arial"/>
              </w:rPr>
              <w:t xml:space="preserve"> and of its income for the</w:t>
            </w:r>
          </w:p>
          <w:p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Default="00B12CDA">
      <w:pPr>
        <w:keepLines w:val="0"/>
        <w:tabs>
          <w:tab w:val="left" w:pos="438"/>
        </w:tabs>
        <w:ind w:left="438" w:right="438"/>
        <w:rPr>
          <w:rFonts w:ascii="Arial" w:hAnsi="Arial" w:cs="Arial"/>
        </w:rPr>
      </w:pPr>
      <w:r>
        <w:rPr>
          <w:rFonts w:ascii="Arial" w:hAnsi="Arial" w:cs="Arial"/>
        </w:rPr>
        <w:t>SN2 7QJ</w:t>
      </w:r>
      <w:r w:rsidR="00A64F34">
        <w:rPr>
          <w:rFonts w:ascii="Arial" w:hAnsi="Arial" w:cs="Arial"/>
        </w:rPr>
        <w:t xml:space="preserve">                                        Signed: ……………………………..</w:t>
      </w: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BE6B89">
        <w:rPr>
          <w:rFonts w:ascii="Arial" w:hAnsi="Arial" w:cs="Arial"/>
          <w:b/>
          <w:u w:val="single"/>
        </w:rPr>
        <w:t>5</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w:t>
      </w:r>
      <w:r w:rsidR="00BE6B89">
        <w:rPr>
          <w:rFonts w:ascii="Arial" w:hAnsi="Arial" w:cs="Arial"/>
          <w:b/>
        </w:rPr>
        <w:t>5</w:t>
      </w:r>
      <w:r w:rsidR="008D1133">
        <w:rPr>
          <w:rFonts w:ascii="Arial" w:hAnsi="Arial" w:cs="Arial"/>
          <w:b/>
        </w:rPr>
        <w:tab/>
        <w:t>31.8.1</w:t>
      </w:r>
      <w:r w:rsidR="00BE6B89">
        <w:rPr>
          <w:rFonts w:ascii="Arial" w:hAnsi="Arial" w:cs="Arial"/>
          <w:b/>
        </w:rPr>
        <w:t>4</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237C1B" w:rsidRPr="00237C1B">
        <w:rPr>
          <w:rFonts w:ascii="Arial" w:hAnsi="Arial" w:cs="Arial"/>
        </w:rPr>
        <w:t>8,106</w:t>
      </w:r>
      <w:r w:rsidR="00C54ED5">
        <w:rPr>
          <w:rFonts w:ascii="Arial" w:hAnsi="Arial" w:cs="Arial"/>
          <w:bCs/>
        </w:rPr>
        <w:tab/>
        <w:t>2</w:t>
      </w:r>
      <w:r w:rsidR="005C615F">
        <w:rPr>
          <w:rFonts w:ascii="Arial" w:hAnsi="Arial" w:cs="Arial"/>
          <w:bCs/>
        </w:rPr>
        <w:t>,</w:t>
      </w:r>
      <w:r w:rsidR="00C54ED5">
        <w:rPr>
          <w:rFonts w:ascii="Arial" w:hAnsi="Arial" w:cs="Arial"/>
          <w:bCs/>
        </w:rPr>
        <w:t>038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27007A">
        <w:rPr>
          <w:rFonts w:ascii="Arial" w:hAnsi="Arial" w:cs="Arial"/>
        </w:rPr>
        <w:t>(</w:t>
      </w:r>
      <w:r w:rsidR="000B1E23">
        <w:rPr>
          <w:rFonts w:ascii="Arial" w:hAnsi="Arial" w:cs="Arial"/>
        </w:rPr>
        <w:t>2</w:t>
      </w:r>
      <w:r w:rsidR="00237C1B">
        <w:rPr>
          <w:rFonts w:ascii="Arial" w:hAnsi="Arial" w:cs="Arial"/>
        </w:rPr>
        <w:t>1</w:t>
      </w:r>
      <w:r w:rsidR="007152B9">
        <w:rPr>
          <w:rFonts w:ascii="Arial" w:hAnsi="Arial" w:cs="Arial"/>
        </w:rPr>
        <w:t>,</w:t>
      </w:r>
      <w:r w:rsidR="00237C1B">
        <w:rPr>
          <w:rFonts w:ascii="Arial" w:hAnsi="Arial" w:cs="Arial"/>
        </w:rPr>
        <w:t>0</w:t>
      </w:r>
      <w:r w:rsidR="000B1E23">
        <w:rPr>
          <w:rFonts w:ascii="Arial" w:hAnsi="Arial" w:cs="Arial"/>
        </w:rPr>
        <w:t>57</w:t>
      </w:r>
      <w:r w:rsidR="0027007A">
        <w:rPr>
          <w:rFonts w:ascii="Arial" w:hAnsi="Arial" w:cs="Arial"/>
        </w:rPr>
        <w:t>)</w:t>
      </w:r>
      <w:r w:rsidRPr="00E044C5">
        <w:rPr>
          <w:rFonts w:ascii="Arial" w:hAnsi="Arial" w:cs="Arial"/>
        </w:rPr>
        <w:tab/>
      </w:r>
      <w:r w:rsidR="00BD3647">
        <w:rPr>
          <w:rFonts w:ascii="Arial" w:hAnsi="Arial" w:cs="Arial"/>
        </w:rPr>
        <w:t>(</w:t>
      </w:r>
      <w:r w:rsidR="00C54ED5">
        <w:rPr>
          <w:rFonts w:ascii="Arial" w:hAnsi="Arial" w:cs="Arial"/>
        </w:rPr>
        <w:t>1,288</w:t>
      </w:r>
      <w:r w:rsidR="00444E9B">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0B1E23">
        <w:rPr>
          <w:rFonts w:ascii="Arial" w:hAnsi="Arial" w:cs="Arial"/>
        </w:rPr>
        <w:t>(12,951)</w:t>
      </w:r>
      <w:r w:rsidRPr="00E044C5">
        <w:rPr>
          <w:rFonts w:ascii="Arial" w:hAnsi="Arial" w:cs="Arial"/>
        </w:rPr>
        <w:tab/>
      </w:r>
      <w:r w:rsidR="00C54ED5">
        <w:rPr>
          <w:rFonts w:ascii="Arial" w:hAnsi="Arial" w:cs="Arial"/>
        </w:rPr>
        <w:t>750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sidR="000B1E23">
        <w:rPr>
          <w:rFonts w:ascii="Arial" w:hAnsi="Arial" w:cs="Arial"/>
        </w:rPr>
        <w:t>-</w:t>
      </w:r>
      <w:r w:rsidRPr="00E044C5">
        <w:rPr>
          <w:rFonts w:ascii="Arial" w:hAnsi="Arial" w:cs="Arial"/>
        </w:rPr>
        <w:tab/>
      </w:r>
      <w:r w:rsidR="00C54ED5">
        <w:rPr>
          <w:rFonts w:ascii="Arial" w:hAnsi="Arial" w:cs="Arial"/>
        </w:rPr>
        <w:t>31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rsidP="00C54ED5">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0B1E23">
        <w:rPr>
          <w:rFonts w:ascii="Arial" w:hAnsi="Arial" w:cs="Arial"/>
        </w:rPr>
        <w:t>(12,951)</w:t>
      </w:r>
      <w:r w:rsidRPr="00E044C5">
        <w:rPr>
          <w:rFonts w:ascii="Arial" w:hAnsi="Arial" w:cs="Arial"/>
        </w:rPr>
        <w:tab/>
      </w:r>
      <w:r w:rsidR="00C54ED5">
        <w:rPr>
          <w:rFonts w:ascii="Arial" w:hAnsi="Arial" w:cs="Arial"/>
        </w:rPr>
        <w:t xml:space="preserve">   781</w:t>
      </w:r>
    </w:p>
    <w:p w:rsidR="00B12CDA" w:rsidRPr="00E044C5" w:rsidRDefault="00B12CDA">
      <w:pPr>
        <w:keepLines w:val="0"/>
        <w:tabs>
          <w:tab w:val="left" w:pos="438"/>
        </w:tabs>
        <w:ind w:left="438" w:right="438"/>
        <w:rPr>
          <w:rFonts w:ascii="Arial" w:hAnsi="Arial" w:cs="Arial"/>
        </w:rPr>
      </w:pPr>
    </w:p>
    <w:tbl>
      <w:tblPr>
        <w:tblpPr w:leftFromText="180" w:rightFromText="180" w:vertAnchor="text" w:tblpX="445" w:tblpY="1"/>
        <w:tblOverlap w:val="never"/>
        <w:tblW w:w="0" w:type="auto"/>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AE57CF">
        <w:trPr>
          <w:gridAfter w:val="3"/>
          <w:wAfter w:w="1527" w:type="dxa"/>
        </w:trPr>
        <w:tc>
          <w:tcPr>
            <w:tcW w:w="4612" w:type="dxa"/>
            <w:tcBorders>
              <w:top w:val="nil"/>
              <w:left w:val="nil"/>
              <w:bottom w:val="nil"/>
              <w:right w:val="nil"/>
            </w:tcBorders>
          </w:tcPr>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B12CDA" w:rsidRPr="00E044C5" w:rsidRDefault="007703D1" w:rsidP="000B1E23">
            <w:pPr>
              <w:pStyle w:val="Number"/>
              <w:keepLines w:val="0"/>
              <w:tabs>
                <w:tab w:val="decimal" w:pos="1317"/>
              </w:tabs>
              <w:rPr>
                <w:rFonts w:ascii="Arial" w:hAnsi="Arial" w:cs="Arial"/>
                <w:color w:val="000000"/>
              </w:rPr>
            </w:pPr>
            <w:r>
              <w:rPr>
                <w:rFonts w:ascii="Arial" w:hAnsi="Arial" w:cs="Arial"/>
                <w:color w:val="000000"/>
              </w:rPr>
              <w:t>1</w:t>
            </w:r>
            <w:r w:rsidR="000B1E23">
              <w:rPr>
                <w:rFonts w:ascii="Arial" w:hAnsi="Arial" w:cs="Arial"/>
                <w:color w:val="000000"/>
              </w:rPr>
              <w:t>0</w:t>
            </w:r>
          </w:p>
        </w:tc>
        <w:tc>
          <w:tcPr>
            <w:tcW w:w="3037" w:type="dxa"/>
            <w:gridSpan w:val="6"/>
            <w:tcBorders>
              <w:top w:val="nil"/>
              <w:left w:val="nil"/>
              <w:bottom w:val="nil"/>
              <w:right w:val="nil"/>
            </w:tcBorders>
          </w:tcPr>
          <w:p w:rsidR="00B12CDA" w:rsidRPr="00E044C5" w:rsidRDefault="007F6874" w:rsidP="00C54ED5">
            <w:pPr>
              <w:pStyle w:val="Number"/>
              <w:keepLines w:val="0"/>
              <w:tabs>
                <w:tab w:val="decimal" w:pos="2767"/>
              </w:tabs>
              <w:rPr>
                <w:rFonts w:ascii="Arial" w:hAnsi="Arial" w:cs="Arial"/>
                <w:color w:val="000000"/>
              </w:rPr>
            </w:pPr>
            <w:r>
              <w:rPr>
                <w:rFonts w:ascii="Arial" w:hAnsi="Arial" w:cs="Arial"/>
                <w:color w:val="000000"/>
              </w:rPr>
              <w:t>1</w:t>
            </w:r>
            <w:r w:rsidR="00C54ED5">
              <w:rPr>
                <w:rFonts w:ascii="Arial" w:hAnsi="Arial" w:cs="Arial"/>
                <w:color w:val="000000"/>
              </w:rPr>
              <w:t>8</w:t>
            </w:r>
          </w:p>
        </w:tc>
      </w:tr>
      <w:tr w:rsidR="00B12CDA" w:rsidRPr="00E044C5" w:rsidTr="00AE57CF">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0B1E23" w:rsidP="000B1E23">
            <w:pPr>
              <w:pStyle w:val="Number"/>
              <w:keepLines w:val="0"/>
              <w:tabs>
                <w:tab w:val="decimal" w:pos="1448"/>
              </w:tabs>
              <w:rPr>
                <w:rFonts w:ascii="Arial" w:hAnsi="Arial" w:cs="Arial"/>
                <w:color w:val="000000"/>
              </w:rPr>
            </w:pPr>
            <w:r>
              <w:rPr>
                <w:rFonts w:ascii="Arial" w:hAnsi="Arial" w:cs="Arial"/>
                <w:color w:val="000000"/>
              </w:rPr>
              <w:t>10</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C54ED5" w:rsidP="003C3437">
            <w:pPr>
              <w:pStyle w:val="Number"/>
              <w:keepLines w:val="0"/>
              <w:tabs>
                <w:tab w:val="decimal" w:pos="1448"/>
              </w:tabs>
              <w:rPr>
                <w:rFonts w:ascii="Arial" w:hAnsi="Arial" w:cs="Arial"/>
                <w:color w:val="000000"/>
              </w:rPr>
            </w:pPr>
            <w:r>
              <w:rPr>
                <w:rFonts w:ascii="Arial" w:hAnsi="Arial" w:cs="Arial"/>
                <w:color w:val="000000"/>
              </w:rPr>
              <w:t>18</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444E9B">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0B1E23" w:rsidP="000B1E23">
            <w:pPr>
              <w:pStyle w:val="Number"/>
              <w:keepLines w:val="0"/>
              <w:ind w:right="-287"/>
              <w:rPr>
                <w:rFonts w:ascii="Arial" w:hAnsi="Arial" w:cs="Arial"/>
                <w:color w:val="000000"/>
              </w:rPr>
            </w:pPr>
            <w:r>
              <w:rPr>
                <w:rFonts w:ascii="Arial" w:hAnsi="Arial" w:cs="Arial"/>
                <w:color w:val="000000"/>
              </w:rPr>
              <w:t>(12,941)</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7F6874" w:rsidP="00C54ED5">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Pr>
                <w:rFonts w:ascii="Arial" w:hAnsi="Arial" w:cs="Arial"/>
                <w:color w:val="000000"/>
              </w:rPr>
              <w:t xml:space="preserve"> </w:t>
            </w:r>
            <w:r w:rsidR="00C54ED5">
              <w:rPr>
                <w:rFonts w:ascii="Arial" w:hAnsi="Arial" w:cs="Arial"/>
                <w:color w:val="000000"/>
              </w:rPr>
              <w:t>799</w:t>
            </w:r>
          </w:p>
        </w:tc>
      </w:tr>
      <w:tr w:rsidR="00B12CDA" w:rsidRPr="00E044C5" w:rsidTr="00444E9B">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rsidSect="00A64F34">
          <w:footerReference w:type="default" r:id="rId16"/>
          <w:pgSz w:w="11904" w:h="16833"/>
          <w:pgMar w:top="720" w:right="720" w:bottom="720" w:left="720" w:header="709" w:footer="1132" w:gutter="0"/>
          <w:cols w:space="709"/>
          <w:noEndnote/>
          <w:docGrid w:linePitch="272"/>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BE6B89">
        <w:rPr>
          <w:rFonts w:ascii="Arial" w:hAnsi="Arial" w:cs="Arial"/>
          <w:b/>
          <w:u w:val="single"/>
        </w:rPr>
        <w:t>5</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BE6B89">
        <w:rPr>
          <w:rFonts w:ascii="Arial" w:hAnsi="Arial" w:cs="Arial"/>
          <w:b/>
        </w:rPr>
        <w:t>5</w:t>
      </w:r>
      <w:r w:rsidRPr="00680896">
        <w:rPr>
          <w:rFonts w:ascii="Arial" w:hAnsi="Arial" w:cs="Arial"/>
          <w:b/>
        </w:rPr>
        <w:tab/>
      </w:r>
      <w:r w:rsidR="006B41E1">
        <w:rPr>
          <w:rFonts w:ascii="Arial" w:hAnsi="Arial" w:cs="Arial"/>
          <w:b/>
        </w:rPr>
        <w:t>201</w:t>
      </w:r>
      <w:r w:rsidR="00BE6B89">
        <w:rPr>
          <w:rFonts w:ascii="Arial" w:hAnsi="Arial" w:cs="Arial"/>
          <w:b/>
        </w:rPr>
        <w:t>4</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C54ED5">
        <w:rPr>
          <w:rFonts w:ascii="Arial" w:hAnsi="Arial" w:cs="Arial"/>
        </w:rPr>
        <w:t>68</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F3648D">
        <w:rPr>
          <w:rFonts w:ascii="Arial" w:hAnsi="Arial" w:cs="Arial"/>
        </w:rPr>
        <w:t>1</w:t>
      </w:r>
      <w:r w:rsidR="001D1591">
        <w:rPr>
          <w:rFonts w:ascii="Arial" w:hAnsi="Arial" w:cs="Arial"/>
        </w:rPr>
        <w:t>,</w:t>
      </w:r>
      <w:r w:rsidR="00F3648D">
        <w:rPr>
          <w:rFonts w:ascii="Arial" w:hAnsi="Arial" w:cs="Arial"/>
        </w:rPr>
        <w:t>549</w:t>
      </w:r>
      <w:r w:rsidRPr="00E044C5">
        <w:rPr>
          <w:rFonts w:ascii="Arial" w:hAnsi="Arial" w:cs="Arial"/>
        </w:rPr>
        <w:tab/>
      </w:r>
      <w:r w:rsidR="000A2C2B">
        <w:rPr>
          <w:rFonts w:ascii="Arial" w:hAnsi="Arial" w:cs="Arial"/>
        </w:rPr>
        <w:t>1</w:t>
      </w:r>
      <w:r w:rsidR="00C54ED5">
        <w:rPr>
          <w:rFonts w:ascii="Arial" w:hAnsi="Arial" w:cs="Arial"/>
        </w:rPr>
        <w:t>3</w:t>
      </w:r>
      <w:r w:rsidR="007F6505">
        <w:rPr>
          <w:rFonts w:ascii="Arial" w:hAnsi="Arial" w:cs="Arial"/>
        </w:rPr>
        <w:t>,</w:t>
      </w:r>
      <w:r w:rsidR="00C54ED5">
        <w:rPr>
          <w:rFonts w:ascii="Arial" w:hAnsi="Arial" w:cs="Arial"/>
        </w:rPr>
        <w:t>864</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F3648D">
        <w:rPr>
          <w:rFonts w:ascii="Arial" w:hAnsi="Arial" w:cs="Arial"/>
        </w:rPr>
        <w:t>1</w:t>
      </w:r>
      <w:r w:rsidR="001D1591">
        <w:rPr>
          <w:rFonts w:ascii="Arial" w:hAnsi="Arial" w:cs="Arial"/>
        </w:rPr>
        <w:t>,</w:t>
      </w:r>
      <w:r w:rsidR="00F3648D">
        <w:rPr>
          <w:rFonts w:ascii="Arial" w:hAnsi="Arial" w:cs="Arial"/>
        </w:rPr>
        <w:t>549</w:t>
      </w:r>
      <w:r w:rsidRPr="00E044C5">
        <w:rPr>
          <w:rFonts w:ascii="Arial" w:hAnsi="Arial" w:cs="Arial"/>
        </w:rPr>
        <w:tab/>
      </w:r>
      <w:r w:rsidR="000A2C2B">
        <w:rPr>
          <w:rFonts w:ascii="Arial" w:hAnsi="Arial" w:cs="Arial"/>
        </w:rPr>
        <w:t>1</w:t>
      </w:r>
      <w:r w:rsidR="00C54ED5">
        <w:rPr>
          <w:rFonts w:ascii="Arial" w:hAnsi="Arial" w:cs="Arial"/>
        </w:rPr>
        <w:t>3</w:t>
      </w:r>
      <w:r w:rsidRPr="00E044C5">
        <w:rPr>
          <w:rFonts w:ascii="Arial" w:hAnsi="Arial" w:cs="Arial"/>
        </w:rPr>
        <w:t>,</w:t>
      </w:r>
      <w:r w:rsidR="00C54ED5">
        <w:rPr>
          <w:rFonts w:ascii="Arial" w:hAnsi="Arial" w:cs="Arial"/>
        </w:rPr>
        <w:t>932</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547D00" w:rsidP="009A0B60">
            <w:pPr>
              <w:pStyle w:val="Number"/>
              <w:keepLines w:val="0"/>
              <w:tabs>
                <w:tab w:val="decimal" w:pos="1712"/>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9A0B60">
              <w:rPr>
                <w:rFonts w:ascii="Arial" w:hAnsi="Arial" w:cs="Arial"/>
                <w:color w:val="000000"/>
              </w:rPr>
              <w:t>492</w:t>
            </w:r>
          </w:p>
        </w:tc>
        <w:tc>
          <w:tcPr>
            <w:tcW w:w="2899" w:type="dxa"/>
            <w:gridSpan w:val="3"/>
            <w:tcBorders>
              <w:top w:val="nil"/>
              <w:left w:val="nil"/>
              <w:bottom w:val="nil"/>
              <w:right w:val="nil"/>
            </w:tcBorders>
          </w:tcPr>
          <w:p w:rsidR="00B12CDA" w:rsidRPr="00E044C5" w:rsidRDefault="000A2C2B" w:rsidP="00C54ED5">
            <w:pPr>
              <w:pStyle w:val="Number"/>
              <w:keepLines w:val="0"/>
              <w:tabs>
                <w:tab w:val="decimal" w:pos="2767"/>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C54ED5">
              <w:rPr>
                <w:rFonts w:ascii="Arial" w:hAnsi="Arial" w:cs="Arial"/>
                <w:color w:val="000000"/>
              </w:rPr>
              <w:t>108</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761B65" w:rsidRPr="00237C1B">
        <w:rPr>
          <w:rFonts w:ascii="Arial" w:hAnsi="Arial" w:cs="Arial"/>
          <w:bCs/>
        </w:rPr>
        <w:t>(</w:t>
      </w:r>
      <w:r w:rsidR="00F3648D" w:rsidRPr="00237C1B">
        <w:rPr>
          <w:rFonts w:ascii="Arial" w:hAnsi="Arial" w:cs="Arial"/>
          <w:bCs/>
        </w:rPr>
        <w:t>1,</w:t>
      </w:r>
      <w:r w:rsidR="009A0B60" w:rsidRPr="00237C1B">
        <w:rPr>
          <w:rFonts w:ascii="Arial" w:hAnsi="Arial" w:cs="Arial"/>
          <w:bCs/>
        </w:rPr>
        <w:t>943</w:t>
      </w:r>
      <w:r w:rsidR="00761B65" w:rsidRPr="00237C1B">
        <w:rPr>
          <w:rFonts w:ascii="Arial" w:hAnsi="Arial" w:cs="Arial"/>
          <w:bCs/>
        </w:rPr>
        <w:t>)</w:t>
      </w:r>
      <w:r w:rsidR="00761B65">
        <w:rPr>
          <w:rFonts w:ascii="Arial" w:hAnsi="Arial" w:cs="Arial"/>
          <w:b/>
          <w:bCs/>
        </w:rPr>
        <w:t xml:space="preserve">                                         </w:t>
      </w:r>
      <w:r w:rsidR="00C54ED5">
        <w:rPr>
          <w:rFonts w:ascii="Arial" w:hAnsi="Arial" w:cs="Arial"/>
        </w:rPr>
        <w:t>10</w:t>
      </w:r>
      <w:r w:rsidRPr="00E044C5">
        <w:rPr>
          <w:rFonts w:ascii="Arial" w:hAnsi="Arial" w:cs="Arial"/>
        </w:rPr>
        <w:t>,</w:t>
      </w:r>
      <w:r w:rsidR="00C54ED5">
        <w:rPr>
          <w:rFonts w:ascii="Arial" w:hAnsi="Arial" w:cs="Arial"/>
        </w:rPr>
        <w:t>824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761B65" w:rsidRPr="00237C1B">
        <w:rPr>
          <w:rFonts w:ascii="Arial" w:hAnsi="Arial" w:cs="Arial"/>
          <w:bCs/>
        </w:rPr>
        <w:t>(</w:t>
      </w:r>
      <w:r w:rsidR="00F3648D" w:rsidRPr="00237C1B">
        <w:rPr>
          <w:rFonts w:ascii="Arial" w:hAnsi="Arial" w:cs="Arial"/>
          <w:bCs/>
        </w:rPr>
        <w:t>1,</w:t>
      </w:r>
      <w:r w:rsidR="009A0B60" w:rsidRPr="00237C1B">
        <w:rPr>
          <w:rFonts w:ascii="Arial" w:hAnsi="Arial" w:cs="Arial"/>
          <w:bCs/>
        </w:rPr>
        <w:t>833</w:t>
      </w:r>
      <w:r w:rsidR="00761B65" w:rsidRPr="00237C1B">
        <w:rPr>
          <w:rFonts w:ascii="Arial" w:hAnsi="Arial" w:cs="Arial"/>
          <w:bCs/>
        </w:rPr>
        <w:t>)</w:t>
      </w:r>
      <w:r w:rsidRPr="00E044C5">
        <w:rPr>
          <w:rFonts w:ascii="Arial" w:hAnsi="Arial" w:cs="Arial"/>
        </w:rPr>
        <w:tab/>
      </w:r>
      <w:r w:rsidR="00C54ED5">
        <w:rPr>
          <w:rFonts w:ascii="Arial" w:hAnsi="Arial" w:cs="Arial"/>
        </w:rPr>
        <w:t>10</w:t>
      </w:r>
      <w:r w:rsidRPr="00E044C5">
        <w:rPr>
          <w:rFonts w:ascii="Arial" w:hAnsi="Arial" w:cs="Arial"/>
        </w:rPr>
        <w:t>,</w:t>
      </w:r>
      <w:r w:rsidR="00C54ED5">
        <w:rPr>
          <w:rFonts w:ascii="Arial" w:hAnsi="Arial" w:cs="Arial"/>
        </w:rPr>
        <w:t>934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761B65">
        <w:rPr>
          <w:rFonts w:ascii="Arial" w:hAnsi="Arial" w:cs="Arial"/>
        </w:rPr>
        <w:t>(</w:t>
      </w:r>
      <w:r w:rsidR="00F3648D">
        <w:rPr>
          <w:rFonts w:ascii="Arial" w:hAnsi="Arial" w:cs="Arial"/>
        </w:rPr>
        <w:t>1,</w:t>
      </w:r>
      <w:r w:rsidR="009A0B60">
        <w:rPr>
          <w:rFonts w:ascii="Arial" w:hAnsi="Arial" w:cs="Arial"/>
        </w:rPr>
        <w:t>833</w:t>
      </w:r>
      <w:r w:rsidR="00761B65">
        <w:rPr>
          <w:rFonts w:ascii="Arial" w:hAnsi="Arial" w:cs="Arial"/>
        </w:rPr>
        <w:t>)</w:t>
      </w:r>
      <w:r w:rsidR="001D1591">
        <w:rPr>
          <w:rFonts w:ascii="Arial" w:hAnsi="Arial" w:cs="Arial"/>
        </w:rPr>
        <w:t xml:space="preserve">                                        </w:t>
      </w:r>
      <w:r>
        <w:rPr>
          <w:rFonts w:ascii="Arial" w:hAnsi="Arial" w:cs="Arial"/>
        </w:rPr>
        <w:t xml:space="preserve"> </w:t>
      </w:r>
      <w:r w:rsidR="00C54ED5">
        <w:rPr>
          <w:rFonts w:ascii="Arial" w:hAnsi="Arial" w:cs="Arial"/>
        </w:rPr>
        <w:t xml:space="preserve"> 10</w:t>
      </w:r>
      <w:r>
        <w:rPr>
          <w:rFonts w:ascii="Arial" w:hAnsi="Arial" w:cs="Arial"/>
        </w:rPr>
        <w:t>,</w:t>
      </w:r>
      <w:r w:rsidR="00C54ED5">
        <w:rPr>
          <w:rFonts w:ascii="Arial" w:hAnsi="Arial" w:cs="Arial"/>
        </w:rPr>
        <w:t>934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9A0B60">
        <w:rPr>
          <w:rFonts w:ascii="Arial" w:hAnsi="Arial" w:cs="Arial"/>
        </w:rPr>
        <w:t>965</w:t>
      </w:r>
      <w:r w:rsidRPr="00E044C5">
        <w:rPr>
          <w:rFonts w:ascii="Arial" w:hAnsi="Arial" w:cs="Arial"/>
        </w:rPr>
        <w:tab/>
      </w:r>
      <w:r w:rsidR="00C54ED5">
        <w:rPr>
          <w:rFonts w:ascii="Arial" w:hAnsi="Arial" w:cs="Arial"/>
        </w:rPr>
        <w:t>791</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761B65">
        <w:rPr>
          <w:rFonts w:ascii="Arial" w:hAnsi="Arial" w:cs="Arial"/>
        </w:rPr>
        <w:t>(</w:t>
      </w:r>
      <w:r w:rsidR="00F3648D">
        <w:rPr>
          <w:rFonts w:ascii="Arial" w:hAnsi="Arial" w:cs="Arial"/>
        </w:rPr>
        <w:t>2</w:t>
      </w:r>
      <w:r w:rsidR="00D41D3E">
        <w:rPr>
          <w:rFonts w:ascii="Arial" w:hAnsi="Arial" w:cs="Arial"/>
        </w:rPr>
        <w:t>,</w:t>
      </w:r>
      <w:r w:rsidR="009A0B60">
        <w:rPr>
          <w:rFonts w:ascii="Arial" w:hAnsi="Arial" w:cs="Arial"/>
        </w:rPr>
        <w:t>798</w:t>
      </w:r>
      <w:r w:rsidR="00761B65">
        <w:rPr>
          <w:rFonts w:ascii="Arial" w:hAnsi="Arial" w:cs="Arial"/>
        </w:rPr>
        <w:t>)</w:t>
      </w:r>
      <w:r>
        <w:rPr>
          <w:rFonts w:ascii="Arial" w:hAnsi="Arial" w:cs="Arial"/>
        </w:rPr>
        <w:t xml:space="preserve">                                         </w:t>
      </w:r>
      <w:r w:rsidR="00444E9B">
        <w:rPr>
          <w:rFonts w:ascii="Arial" w:hAnsi="Arial" w:cs="Arial"/>
        </w:rPr>
        <w:t xml:space="preserve"> </w:t>
      </w:r>
      <w:r w:rsidR="00C54ED5">
        <w:rPr>
          <w:rFonts w:ascii="Arial" w:hAnsi="Arial" w:cs="Arial"/>
        </w:rPr>
        <w:t>10</w:t>
      </w:r>
      <w:r w:rsidRPr="00E044C5">
        <w:rPr>
          <w:rFonts w:ascii="Arial" w:hAnsi="Arial" w:cs="Arial"/>
        </w:rPr>
        <w:t>,</w:t>
      </w:r>
      <w:r w:rsidR="00C54ED5">
        <w:rPr>
          <w:rFonts w:ascii="Arial" w:hAnsi="Arial" w:cs="Arial"/>
        </w:rPr>
        <w:t>143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761B65" w:rsidRPr="00237C1B">
        <w:rPr>
          <w:rFonts w:ascii="Arial" w:hAnsi="Arial" w:cs="Arial"/>
          <w:bCs/>
        </w:rPr>
        <w:t>(</w:t>
      </w:r>
      <w:r w:rsidR="00F3648D" w:rsidRPr="00237C1B">
        <w:rPr>
          <w:rFonts w:ascii="Arial" w:hAnsi="Arial" w:cs="Arial"/>
          <w:bCs/>
        </w:rPr>
        <w:t>1,</w:t>
      </w:r>
      <w:r w:rsidR="009A0B60" w:rsidRPr="00237C1B">
        <w:rPr>
          <w:rFonts w:ascii="Arial" w:hAnsi="Arial" w:cs="Arial"/>
          <w:bCs/>
        </w:rPr>
        <w:t>833</w:t>
      </w:r>
      <w:r w:rsidR="00761B65" w:rsidRPr="00237C1B">
        <w:rPr>
          <w:rFonts w:ascii="Arial" w:hAnsi="Arial" w:cs="Arial"/>
          <w:bCs/>
        </w:rPr>
        <w:t>)</w:t>
      </w:r>
      <w:r w:rsidR="00716B83">
        <w:rPr>
          <w:rFonts w:ascii="Arial" w:hAnsi="Arial" w:cs="Arial"/>
        </w:rPr>
        <w:t xml:space="preserve">                                          </w:t>
      </w:r>
      <w:r w:rsidR="00C54ED5">
        <w:rPr>
          <w:rFonts w:ascii="Arial" w:hAnsi="Arial" w:cs="Arial"/>
        </w:rPr>
        <w:t>10</w:t>
      </w:r>
      <w:r w:rsidRPr="00E044C5">
        <w:rPr>
          <w:rFonts w:ascii="Arial" w:hAnsi="Arial" w:cs="Arial"/>
        </w:rPr>
        <w:t>,</w:t>
      </w:r>
      <w:r w:rsidR="00C54ED5">
        <w:rPr>
          <w:rFonts w:ascii="Arial" w:hAnsi="Arial" w:cs="Arial"/>
        </w:rPr>
        <w:t>934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53088F">
      <w:pPr>
        <w:keepLines w:val="0"/>
        <w:tabs>
          <w:tab w:val="left" w:pos="438"/>
          <w:tab w:val="left" w:pos="5711"/>
        </w:tabs>
        <w:ind w:left="438" w:right="438"/>
        <w:rPr>
          <w:rFonts w:ascii="Arial" w:hAnsi="Arial" w:cs="Arial"/>
        </w:rPr>
      </w:pPr>
      <w:r>
        <w:rPr>
          <w:rFonts w:ascii="Arial" w:hAnsi="Arial" w:cs="Arial"/>
        </w:rPr>
        <w:t>S Mytton</w:t>
      </w:r>
      <w:r w:rsidR="00B12CDA" w:rsidRPr="00E044C5">
        <w:rPr>
          <w:rFonts w:ascii="Arial" w:hAnsi="Arial" w:cs="Arial"/>
        </w:rPr>
        <w:t xml:space="preserve">  - Chairman</w:t>
      </w:r>
      <w:r w:rsidR="00B12CDA"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BE6B89">
        <w:rPr>
          <w:rFonts w:ascii="Arial" w:hAnsi="Arial" w:cs="Arial"/>
          <w:u w:val="single"/>
        </w:rPr>
        <w:t>5</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w:t>
      </w:r>
      <w:r w:rsidR="00BE6B89">
        <w:rPr>
          <w:rFonts w:ascii="Arial" w:hAnsi="Arial" w:cs="Arial"/>
          <w:b/>
        </w:rPr>
        <w:t>5</w:t>
      </w:r>
      <w:r w:rsidR="008661D6">
        <w:rPr>
          <w:rFonts w:ascii="Arial" w:hAnsi="Arial" w:cs="Arial"/>
          <w:b/>
        </w:rPr>
        <w:tab/>
      </w:r>
      <w:r w:rsidR="008661D6">
        <w:rPr>
          <w:rFonts w:ascii="Arial" w:hAnsi="Arial" w:cs="Arial"/>
          <w:b/>
        </w:rPr>
        <w:tab/>
        <w:t>31.8.1</w:t>
      </w:r>
      <w:r w:rsidR="00BE6B89">
        <w:rPr>
          <w:rFonts w:ascii="Arial" w:hAnsi="Arial" w:cs="Arial"/>
          <w:b/>
        </w:rPr>
        <w:t>4</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BE6B89">
        <w:rPr>
          <w:rFonts w:ascii="Arial" w:hAnsi="Arial" w:cs="Arial"/>
          <w:u w:val="single"/>
        </w:rPr>
        <w:t>5</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BE6B89">
        <w:rPr>
          <w:rFonts w:ascii="Arial" w:hAnsi="Arial" w:cs="Arial"/>
        </w:rPr>
        <w:t>5</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BE6B89">
        <w:rPr>
          <w:rFonts w:ascii="Arial" w:hAnsi="Arial" w:cs="Arial"/>
        </w:rPr>
        <w:t>4</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BE6B89">
        <w:rPr>
          <w:rFonts w:ascii="Arial" w:hAnsi="Arial" w:cs="Arial"/>
        </w:rPr>
        <w:t>5</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BE6B89">
        <w:rPr>
          <w:rFonts w:ascii="Arial" w:hAnsi="Arial" w:cs="Arial"/>
          <w:b/>
        </w:rPr>
        <w:t>5</w:t>
      </w:r>
      <w:r w:rsidRPr="00680896">
        <w:rPr>
          <w:rFonts w:ascii="Arial" w:hAnsi="Arial" w:cs="Arial"/>
          <w:b/>
        </w:rPr>
        <w:tab/>
        <w:t>20</w:t>
      </w:r>
      <w:r w:rsidR="008661D6">
        <w:rPr>
          <w:rFonts w:ascii="Arial" w:hAnsi="Arial" w:cs="Arial"/>
          <w:b/>
        </w:rPr>
        <w:t>1</w:t>
      </w:r>
      <w:r w:rsidR="00BE6B89">
        <w:rPr>
          <w:rFonts w:ascii="Arial" w:hAnsi="Arial" w:cs="Arial"/>
          <w:b/>
        </w:rPr>
        <w:t>4</w:t>
      </w:r>
    </w:p>
    <w:p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BE6B89">
        <w:rPr>
          <w:rFonts w:ascii="Arial" w:hAnsi="Arial" w:cs="Arial"/>
          <w:b/>
        </w:rPr>
        <w:t>5</w:t>
      </w:r>
      <w:r w:rsidR="00491A7A">
        <w:rPr>
          <w:rFonts w:ascii="Arial" w:hAnsi="Arial" w:cs="Arial"/>
          <w:b/>
        </w:rPr>
        <w:tab/>
        <w:t>201</w:t>
      </w:r>
      <w:r w:rsidR="00BE6B89">
        <w:rPr>
          <w:rFonts w:ascii="Arial" w:hAnsi="Arial" w:cs="Arial"/>
          <w:b/>
        </w:rPr>
        <w:t>4</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t>3</w:t>
      </w:r>
      <w:r w:rsidRPr="00E044C5">
        <w:rPr>
          <w:rFonts w:ascii="Arial" w:hAnsi="Arial" w:cs="Arial"/>
        </w:rPr>
        <w:t>,</w:t>
      </w:r>
      <w:r w:rsidR="009031BD">
        <w:rPr>
          <w:rFonts w:ascii="Arial" w:hAnsi="Arial" w:cs="Arial"/>
        </w:rPr>
        <w:t>492</w:t>
      </w:r>
      <w:r w:rsidR="00844A47">
        <w:rPr>
          <w:rFonts w:ascii="Arial" w:hAnsi="Arial" w:cs="Arial"/>
        </w:rPr>
        <w:t xml:space="preserve">                  3</w:t>
      </w:r>
      <w:r w:rsidRPr="00E044C5">
        <w:rPr>
          <w:rFonts w:ascii="Arial" w:hAnsi="Arial" w:cs="Arial"/>
        </w:rPr>
        <w:t>,</w:t>
      </w:r>
      <w:r w:rsidR="009031BD">
        <w:rPr>
          <w:rFonts w:ascii="Arial" w:hAnsi="Arial" w:cs="Arial"/>
        </w:rPr>
        <w:t>108</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BE6B89">
        <w:rPr>
          <w:rFonts w:ascii="Arial" w:hAnsi="Arial" w:cs="Arial"/>
          <w:b/>
        </w:rPr>
        <w:t>5</w:t>
      </w:r>
      <w:r w:rsidRPr="00680896">
        <w:rPr>
          <w:rFonts w:ascii="Arial" w:hAnsi="Arial" w:cs="Arial"/>
          <w:b/>
        </w:rPr>
        <w:tab/>
        <w:t>20</w:t>
      </w:r>
      <w:r w:rsidR="006C5083">
        <w:rPr>
          <w:rFonts w:ascii="Arial" w:hAnsi="Arial" w:cs="Arial"/>
          <w:b/>
        </w:rPr>
        <w:t>1</w:t>
      </w:r>
      <w:r w:rsidR="00BE6B89">
        <w:rPr>
          <w:rFonts w:ascii="Arial" w:hAnsi="Arial" w:cs="Arial"/>
          <w:b/>
        </w:rPr>
        <w:t>4</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2F1E45">
        <w:rPr>
          <w:rFonts w:ascii="Arial" w:hAnsi="Arial" w:cs="Arial"/>
        </w:rPr>
        <w:t>,000</w:t>
      </w:r>
      <w:r w:rsidR="002F1E45">
        <w:rPr>
          <w:rFonts w:ascii="Arial" w:hAnsi="Arial" w:cs="Arial"/>
        </w:rPr>
        <w:tab/>
        <w:t>1</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BE6B89">
        <w:rPr>
          <w:rFonts w:ascii="Arial" w:hAnsi="Arial" w:cs="Arial"/>
          <w:b/>
        </w:rPr>
        <w:t>5</w:t>
      </w:r>
      <w:r w:rsidRPr="00680896">
        <w:rPr>
          <w:rFonts w:ascii="Arial" w:hAnsi="Arial" w:cs="Arial"/>
          <w:b/>
        </w:rPr>
        <w:tab/>
        <w:t>20</w:t>
      </w:r>
      <w:r w:rsidR="00716B83">
        <w:rPr>
          <w:rFonts w:ascii="Arial" w:hAnsi="Arial" w:cs="Arial"/>
          <w:b/>
        </w:rPr>
        <w:t>1</w:t>
      </w:r>
      <w:r w:rsidR="00BE6B89">
        <w:rPr>
          <w:rFonts w:ascii="Arial" w:hAnsi="Arial" w:cs="Arial"/>
          <w:b/>
        </w:rPr>
        <w:t>4</w:t>
      </w: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9031BD">
        <w:rPr>
          <w:rFonts w:ascii="Arial" w:hAnsi="Arial" w:cs="Arial"/>
        </w:rPr>
        <w:t>965</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9031BD">
        <w:rPr>
          <w:rFonts w:ascii="Arial" w:hAnsi="Arial" w:cs="Arial"/>
        </w:rPr>
        <w:t>965</w:t>
      </w:r>
      <w:r w:rsidRPr="00E044C5">
        <w:rPr>
          <w:rFonts w:ascii="Arial" w:hAnsi="Arial" w:cs="Arial"/>
        </w:rPr>
        <w:tab/>
      </w:r>
      <w:r w:rsidR="009031BD">
        <w:rPr>
          <w:rFonts w:ascii="Arial" w:hAnsi="Arial" w:cs="Arial"/>
        </w:rPr>
        <w:t>791</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BE6B89">
        <w:rPr>
          <w:rFonts w:ascii="Arial" w:hAnsi="Arial" w:cs="Arial"/>
          <w:b/>
        </w:rPr>
        <w:t>4</w:t>
      </w:r>
      <w:r w:rsidRPr="00E044C5">
        <w:rPr>
          <w:rFonts w:ascii="Arial" w:hAnsi="Arial" w:cs="Arial"/>
        </w:rPr>
        <w:tab/>
      </w:r>
      <w:r w:rsidR="00761B65">
        <w:rPr>
          <w:rFonts w:ascii="Arial" w:hAnsi="Arial" w:cs="Arial"/>
        </w:rPr>
        <w:t>10</w:t>
      </w:r>
      <w:r w:rsidR="00D41D3E">
        <w:rPr>
          <w:rFonts w:ascii="Arial" w:hAnsi="Arial" w:cs="Arial"/>
        </w:rPr>
        <w:t>,</w:t>
      </w:r>
      <w:r w:rsidR="00761B65">
        <w:rPr>
          <w:rFonts w:ascii="Arial" w:hAnsi="Arial" w:cs="Arial"/>
        </w:rPr>
        <w:t>143</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761B65" w:rsidP="009A0B60">
            <w:pPr>
              <w:pStyle w:val="Number"/>
              <w:keepLines w:val="0"/>
              <w:tabs>
                <w:tab w:val="decimal" w:pos="6458"/>
              </w:tabs>
              <w:rPr>
                <w:rFonts w:ascii="Arial" w:hAnsi="Arial" w:cs="Arial"/>
                <w:color w:val="000000"/>
              </w:rPr>
            </w:pPr>
            <w:r>
              <w:rPr>
                <w:rFonts w:ascii="Arial" w:hAnsi="Arial" w:cs="Arial"/>
                <w:color w:val="000000"/>
              </w:rPr>
              <w:t>(1</w:t>
            </w:r>
            <w:r w:rsidR="00F3648D">
              <w:rPr>
                <w:rFonts w:ascii="Arial" w:hAnsi="Arial" w:cs="Arial"/>
                <w:color w:val="000000"/>
              </w:rPr>
              <w:t>2</w:t>
            </w:r>
            <w:r>
              <w:rPr>
                <w:rFonts w:ascii="Arial" w:hAnsi="Arial" w:cs="Arial"/>
                <w:color w:val="000000"/>
              </w:rPr>
              <w:t>,</w:t>
            </w:r>
            <w:r w:rsidR="009A0B60">
              <w:rPr>
                <w:rFonts w:ascii="Arial" w:hAnsi="Arial" w:cs="Arial"/>
                <w:color w:val="000000"/>
              </w:rPr>
              <w:t>941</w:t>
            </w:r>
            <w:r>
              <w:rPr>
                <w:rFonts w:ascii="Arial" w:hAnsi="Arial" w:cs="Arial"/>
                <w:color w:val="000000"/>
              </w:rPr>
              <w:t>)</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BE6B89">
        <w:rPr>
          <w:rFonts w:ascii="Arial" w:hAnsi="Arial" w:cs="Arial"/>
          <w:b/>
        </w:rPr>
        <w:t>5</w:t>
      </w:r>
      <w:r w:rsidRPr="00E044C5">
        <w:rPr>
          <w:rFonts w:ascii="Arial" w:hAnsi="Arial" w:cs="Arial"/>
        </w:rPr>
        <w:tab/>
      </w:r>
      <w:r w:rsidR="00761B65">
        <w:rPr>
          <w:rFonts w:ascii="Arial" w:hAnsi="Arial" w:cs="Arial"/>
        </w:rPr>
        <w:t>(</w:t>
      </w:r>
      <w:r w:rsidR="00F3648D">
        <w:rPr>
          <w:rFonts w:ascii="Arial" w:hAnsi="Arial" w:cs="Arial"/>
        </w:rPr>
        <w:t>2</w:t>
      </w:r>
      <w:r w:rsidR="00761B65">
        <w:rPr>
          <w:rFonts w:ascii="Arial" w:hAnsi="Arial" w:cs="Arial"/>
        </w:rPr>
        <w:t>,</w:t>
      </w:r>
      <w:r w:rsidR="009A0B60">
        <w:rPr>
          <w:rFonts w:ascii="Arial" w:hAnsi="Arial" w:cs="Arial"/>
        </w:rPr>
        <w:t>798</w:t>
      </w:r>
      <w:r w:rsidR="00761B65">
        <w:rPr>
          <w:rFonts w:ascii="Arial" w:hAnsi="Arial" w:cs="Arial"/>
        </w:rPr>
        <w:t>)</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9031BD">
        <w:rPr>
          <w:rFonts w:ascii="Arial" w:hAnsi="Arial" w:cs="Arial"/>
          <w:color w:val="auto"/>
        </w:rPr>
        <w:t>5</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9031BD">
        <w:rPr>
          <w:rFonts w:ascii="Arial" w:hAnsi="Arial" w:cs="Arial"/>
          <w:color w:val="auto"/>
        </w:rPr>
        <w:t>3</w:t>
      </w:r>
      <w:r>
        <w:rPr>
          <w:rFonts w:ascii="Arial" w:hAnsi="Arial" w:cs="Arial"/>
          <w:color w:val="auto"/>
        </w:rPr>
        <w:t xml:space="preserve"> years used @ £4)     £</w:t>
      </w:r>
      <w:r w:rsidR="009031BD">
        <w:rPr>
          <w:rFonts w:ascii="Arial" w:hAnsi="Arial" w:cs="Arial"/>
          <w:color w:val="auto"/>
        </w:rPr>
        <w:t>48</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9 = £ 9</w:t>
      </w:r>
      <w:r w:rsidR="009031BD">
        <w:rPr>
          <w:rFonts w:ascii="Arial" w:hAnsi="Arial" w:cs="Arial"/>
          <w:color w:val="auto"/>
        </w:rPr>
        <w:t>12</w:t>
      </w:r>
    </w:p>
    <w:p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9031BD">
        <w:rPr>
          <w:rFonts w:ascii="Arial" w:hAnsi="Arial" w:cs="Arial"/>
          <w:color w:val="auto"/>
        </w:rPr>
        <w:t>2</w:t>
      </w:r>
      <w:r w:rsidR="00B22499">
        <w:rPr>
          <w:rFonts w:ascii="Arial" w:hAnsi="Arial" w:cs="Arial"/>
          <w:color w:val="auto"/>
        </w:rPr>
        <w:t xml:space="preserve"> years used @ £4)     </w:t>
      </w:r>
      <w:r w:rsidR="009D4F60">
        <w:rPr>
          <w:rFonts w:ascii="Arial" w:hAnsi="Arial" w:cs="Arial"/>
          <w:color w:val="auto"/>
        </w:rPr>
        <w:t>£5</w:t>
      </w:r>
      <w:r w:rsidR="009031BD">
        <w:rPr>
          <w:rFonts w:ascii="Arial" w:hAnsi="Arial" w:cs="Arial"/>
          <w:color w:val="auto"/>
        </w:rPr>
        <w:t>2</w:t>
      </w:r>
      <w:r>
        <w:rPr>
          <w:rFonts w:ascii="Arial" w:hAnsi="Arial" w:cs="Arial"/>
          <w:color w:val="auto"/>
        </w:rPr>
        <w:t xml:space="preserve"> x 3   = £ </w:t>
      </w:r>
      <w:r w:rsidR="00B113E0">
        <w:rPr>
          <w:rFonts w:ascii="Arial" w:hAnsi="Arial" w:cs="Arial"/>
          <w:color w:val="auto"/>
        </w:rPr>
        <w:t>1</w:t>
      </w:r>
      <w:r w:rsidR="009031BD">
        <w:rPr>
          <w:rFonts w:ascii="Arial" w:hAnsi="Arial" w:cs="Arial"/>
          <w:color w:val="auto"/>
        </w:rPr>
        <w:t>56</w:t>
      </w:r>
    </w:p>
    <w:p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9031BD">
        <w:rPr>
          <w:rFonts w:ascii="Arial" w:hAnsi="Arial" w:cs="Arial"/>
          <w:color w:val="auto"/>
        </w:rPr>
        <w:t>1</w:t>
      </w:r>
      <w:r w:rsidR="00B22499">
        <w:rPr>
          <w:rFonts w:ascii="Arial" w:hAnsi="Arial" w:cs="Arial"/>
          <w:color w:val="auto"/>
        </w:rPr>
        <w:t xml:space="preserve"> years used @ £4)     </w:t>
      </w:r>
      <w:r w:rsidR="00716B83">
        <w:rPr>
          <w:rFonts w:ascii="Arial" w:hAnsi="Arial" w:cs="Arial"/>
          <w:color w:val="auto"/>
        </w:rPr>
        <w:t>£</w:t>
      </w:r>
      <w:r w:rsidR="009031BD">
        <w:rPr>
          <w:rFonts w:ascii="Arial" w:hAnsi="Arial" w:cs="Arial"/>
          <w:color w:val="auto"/>
        </w:rPr>
        <w:t>56</w:t>
      </w:r>
      <w:r w:rsidR="00716B83">
        <w:rPr>
          <w:rFonts w:ascii="Arial" w:hAnsi="Arial" w:cs="Arial"/>
          <w:color w:val="auto"/>
        </w:rPr>
        <w:t xml:space="preserve"> x 2   = £ 1</w:t>
      </w:r>
      <w:r w:rsidR="009031BD">
        <w:rPr>
          <w:rFonts w:ascii="Arial" w:hAnsi="Arial" w:cs="Arial"/>
          <w:color w:val="auto"/>
        </w:rPr>
        <w:t>12</w:t>
      </w:r>
    </w:p>
    <w:p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10</w:t>
      </w:r>
      <w:r w:rsidR="00B22499">
        <w:rPr>
          <w:rFonts w:ascii="Arial" w:hAnsi="Arial" w:cs="Arial"/>
          <w:color w:val="auto"/>
        </w:rPr>
        <w:t xml:space="preserve"> years used @ £4)     </w:t>
      </w:r>
      <w:r w:rsidR="008661D6">
        <w:rPr>
          <w:rFonts w:ascii="Arial" w:hAnsi="Arial" w:cs="Arial"/>
          <w:color w:val="auto"/>
        </w:rPr>
        <w:t>£6</w:t>
      </w:r>
      <w:r w:rsidR="009031BD">
        <w:rPr>
          <w:rFonts w:ascii="Arial" w:hAnsi="Arial" w:cs="Arial"/>
          <w:color w:val="auto"/>
        </w:rPr>
        <w:t>0</w:t>
      </w:r>
      <w:r w:rsidR="00716B83">
        <w:rPr>
          <w:rFonts w:ascii="Arial" w:hAnsi="Arial" w:cs="Arial"/>
          <w:color w:val="auto"/>
        </w:rPr>
        <w:t xml:space="preserve"> x 5   = £ 3</w:t>
      </w:r>
      <w:r w:rsidR="009031BD">
        <w:rPr>
          <w:rFonts w:ascii="Arial" w:hAnsi="Arial" w:cs="Arial"/>
          <w:color w:val="auto"/>
        </w:rPr>
        <w:t>0</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9031BD">
        <w:rPr>
          <w:rFonts w:ascii="Arial" w:hAnsi="Arial" w:cs="Arial"/>
          <w:color w:val="auto"/>
        </w:rPr>
        <w:t>9</w:t>
      </w:r>
      <w:r>
        <w:rPr>
          <w:rFonts w:ascii="Arial" w:hAnsi="Arial" w:cs="Arial"/>
          <w:color w:val="auto"/>
        </w:rPr>
        <w:t xml:space="preserve"> years used @ £4)     £</w:t>
      </w:r>
      <w:r w:rsidR="009D4F60">
        <w:rPr>
          <w:rFonts w:ascii="Arial" w:hAnsi="Arial" w:cs="Arial"/>
          <w:color w:val="auto"/>
        </w:rPr>
        <w:t>6</w:t>
      </w:r>
      <w:r w:rsidR="009031BD">
        <w:rPr>
          <w:rFonts w:ascii="Arial" w:hAnsi="Arial" w:cs="Arial"/>
          <w:color w:val="auto"/>
        </w:rPr>
        <w:t>4</w:t>
      </w:r>
      <w:r w:rsidR="009D4F60">
        <w:rPr>
          <w:rFonts w:ascii="Arial" w:hAnsi="Arial" w:cs="Arial"/>
          <w:color w:val="auto"/>
        </w:rPr>
        <w:t xml:space="preserve"> x 10 = £ 6</w:t>
      </w:r>
      <w:r w:rsidR="009031BD">
        <w:rPr>
          <w:rFonts w:ascii="Arial" w:hAnsi="Arial" w:cs="Arial"/>
          <w:color w:val="auto"/>
        </w:rPr>
        <w:t>4</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9031BD">
        <w:rPr>
          <w:rFonts w:ascii="Arial" w:hAnsi="Arial" w:cs="Arial"/>
          <w:color w:val="auto"/>
        </w:rPr>
        <w:t>4</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£8</w:t>
      </w:r>
      <w:r w:rsidR="009031BD">
        <w:rPr>
          <w:rFonts w:ascii="Arial" w:hAnsi="Arial" w:cs="Arial"/>
          <w:color w:val="auto"/>
        </w:rPr>
        <w:t>4</w:t>
      </w:r>
      <w:r w:rsidR="009D4F60">
        <w:rPr>
          <w:rFonts w:ascii="Arial" w:hAnsi="Arial" w:cs="Arial"/>
          <w:color w:val="auto"/>
        </w:rPr>
        <w:t xml:space="preserve"> x  1  = £ 8</w:t>
      </w:r>
      <w:r w:rsidR="009031BD">
        <w:rPr>
          <w:rFonts w:ascii="Arial" w:hAnsi="Arial" w:cs="Arial"/>
          <w:color w:val="auto"/>
        </w:rPr>
        <w:t>4</w:t>
      </w:r>
    </w:p>
    <w:p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9031BD">
        <w:rPr>
          <w:rFonts w:ascii="Arial" w:hAnsi="Arial" w:cs="Arial"/>
          <w:color w:val="auto"/>
        </w:rPr>
        <w:t>3</w:t>
      </w:r>
      <w:r>
        <w:rPr>
          <w:rFonts w:ascii="Arial" w:hAnsi="Arial" w:cs="Arial"/>
          <w:color w:val="auto"/>
        </w:rPr>
        <w:t xml:space="preserve"> year</w:t>
      </w:r>
      <w:r w:rsidR="009D4F60">
        <w:rPr>
          <w:rFonts w:ascii="Arial" w:hAnsi="Arial" w:cs="Arial"/>
          <w:color w:val="auto"/>
        </w:rPr>
        <w:t xml:space="preserve">s used @ £4)     </w:t>
      </w:r>
      <w:r>
        <w:rPr>
          <w:rFonts w:ascii="Arial" w:hAnsi="Arial" w:cs="Arial"/>
          <w:color w:val="auto"/>
        </w:rPr>
        <w:t>£</w:t>
      </w:r>
      <w:r w:rsidR="009031BD">
        <w:rPr>
          <w:rFonts w:ascii="Arial" w:hAnsi="Arial" w:cs="Arial"/>
          <w:color w:val="auto"/>
        </w:rPr>
        <w:t>88</w:t>
      </w:r>
      <w:r>
        <w:rPr>
          <w:rFonts w:ascii="Arial" w:hAnsi="Arial" w:cs="Arial"/>
          <w:color w:val="auto"/>
        </w:rPr>
        <w:t xml:space="preserve"> x 6 = </w:t>
      </w:r>
      <w:r w:rsidR="003E399C">
        <w:rPr>
          <w:rFonts w:ascii="Arial" w:hAnsi="Arial" w:cs="Arial"/>
          <w:color w:val="auto"/>
        </w:rPr>
        <w:t>£ 5</w:t>
      </w:r>
      <w:r w:rsidR="009031BD">
        <w:rPr>
          <w:rFonts w:ascii="Arial" w:hAnsi="Arial" w:cs="Arial"/>
          <w:color w:val="auto"/>
        </w:rPr>
        <w:t>28</w:t>
      </w:r>
    </w:p>
    <w:p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9031BD">
        <w:rPr>
          <w:rFonts w:ascii="Arial" w:hAnsi="Arial" w:cs="Arial"/>
          <w:color w:val="auto"/>
        </w:rPr>
        <w:t>2</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£9</w:t>
      </w:r>
      <w:r w:rsidR="009031BD">
        <w:rPr>
          <w:rFonts w:ascii="Arial" w:hAnsi="Arial" w:cs="Arial"/>
          <w:color w:val="auto"/>
        </w:rPr>
        <w:t>2</w:t>
      </w:r>
      <w:r>
        <w:rPr>
          <w:rFonts w:ascii="Arial" w:hAnsi="Arial" w:cs="Arial"/>
          <w:color w:val="auto"/>
        </w:rPr>
        <w:t xml:space="preserve"> x 2 = £ 1</w:t>
      </w:r>
      <w:r w:rsidR="009031BD">
        <w:rPr>
          <w:rFonts w:ascii="Arial" w:hAnsi="Arial" w:cs="Arial"/>
          <w:color w:val="auto"/>
        </w:rPr>
        <w:t>84</w:t>
      </w:r>
    </w:p>
    <w:p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( 1 year used @ £4)      £96 x 6 = £ 576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Total creditors to be b/f  £3</w:t>
      </w:r>
      <w:r w:rsidR="009031BD">
        <w:rPr>
          <w:rFonts w:ascii="Arial" w:hAnsi="Arial" w:cs="Arial"/>
          <w:color w:val="auto"/>
        </w:rPr>
        <w:t>492</w:t>
      </w:r>
    </w:p>
    <w:p w:rsidR="006A46C0" w:rsidRDefault="006A46C0">
      <w:pPr>
        <w:keepLines w:val="0"/>
        <w:rPr>
          <w:rFonts w:ascii="Arial" w:hAnsi="Arial" w:cs="Arial"/>
          <w:color w:val="auto"/>
        </w:rPr>
      </w:pPr>
    </w:p>
    <w:p w:rsidR="00777327" w:rsidRPr="006A46C0" w:rsidRDefault="006A46C0" w:rsidP="000114CB">
      <w:pPr>
        <w:keepLines w:val="0"/>
        <w:rPr>
          <w:rFonts w:ascii="Arial" w:hAnsi="Arial" w:cs="Arial"/>
          <w:color w:val="auto"/>
        </w:rPr>
      </w:pPr>
      <w:r>
        <w:rPr>
          <w:rFonts w:ascii="Arial" w:hAnsi="Arial" w:cs="Arial"/>
          <w:color w:val="auto"/>
        </w:rPr>
        <w:t xml:space="preserve">        </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BE6B89">
        <w:rPr>
          <w:rFonts w:ascii="Arial" w:hAnsi="Arial" w:cs="Arial"/>
          <w:b/>
          <w:u w:val="single"/>
        </w:rPr>
        <w:t>5</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BE6B89">
        <w:rPr>
          <w:rFonts w:ascii="Arial" w:hAnsi="Arial" w:cs="Arial"/>
          <w:b/>
        </w:rPr>
        <w:t>5</w:t>
      </w:r>
      <w:r w:rsidRPr="00F60E05">
        <w:rPr>
          <w:rFonts w:ascii="Arial" w:hAnsi="Arial" w:cs="Arial"/>
          <w:b/>
        </w:rPr>
        <w:tab/>
        <w:t>31.8.</w:t>
      </w:r>
      <w:r w:rsidR="001E59A4">
        <w:rPr>
          <w:rFonts w:ascii="Arial" w:hAnsi="Arial" w:cs="Arial"/>
          <w:b/>
        </w:rPr>
        <w:t>1</w:t>
      </w:r>
      <w:r w:rsidR="00BE6B89">
        <w:rPr>
          <w:rFonts w:ascii="Arial" w:hAnsi="Arial" w:cs="Arial"/>
          <w:b/>
        </w:rPr>
        <w:t>4</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Turnover</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9031BD">
        <w:rPr>
          <w:rFonts w:ascii="Arial" w:hAnsi="Arial" w:cs="Arial"/>
        </w:rPr>
        <w:t>973</w:t>
      </w:r>
      <w:r w:rsidRPr="00E044C5">
        <w:rPr>
          <w:rFonts w:ascii="Arial" w:hAnsi="Arial" w:cs="Arial"/>
        </w:rPr>
        <w:tab/>
      </w:r>
      <w:r w:rsidR="002A5CB1">
        <w:rPr>
          <w:rFonts w:ascii="Arial" w:hAnsi="Arial" w:cs="Arial"/>
        </w:rPr>
        <w:t>335</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1819B6">
        <w:rPr>
          <w:rFonts w:ascii="Arial" w:hAnsi="Arial" w:cs="Arial"/>
        </w:rPr>
        <w:t>214</w:t>
      </w:r>
      <w:r w:rsidRPr="00E044C5">
        <w:rPr>
          <w:rFonts w:ascii="Arial" w:hAnsi="Arial" w:cs="Arial"/>
        </w:rPr>
        <w:tab/>
      </w:r>
      <w:r w:rsidR="00716B83">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1819B6">
        <w:rPr>
          <w:rFonts w:ascii="Arial" w:hAnsi="Arial" w:cs="Arial"/>
        </w:rPr>
        <w:t>6</w:t>
      </w:r>
      <w:r w:rsidR="00D41D3E">
        <w:rPr>
          <w:rFonts w:ascii="Arial" w:hAnsi="Arial" w:cs="Arial"/>
        </w:rPr>
        <w:t>,</w:t>
      </w:r>
      <w:r w:rsidR="00237C1B">
        <w:rPr>
          <w:rFonts w:ascii="Arial" w:hAnsi="Arial" w:cs="Arial"/>
        </w:rPr>
        <w:t>9</w:t>
      </w:r>
      <w:r w:rsidR="001819B6">
        <w:rPr>
          <w:rFonts w:ascii="Arial" w:hAnsi="Arial" w:cs="Arial"/>
        </w:rPr>
        <w:t>19</w:t>
      </w:r>
      <w:r w:rsidR="00716B83">
        <w:rPr>
          <w:rFonts w:ascii="Arial" w:hAnsi="Arial" w:cs="Arial"/>
        </w:rPr>
        <w:t xml:space="preserve">                                         </w:t>
      </w:r>
      <w:r w:rsidR="002A5CB1">
        <w:rPr>
          <w:rFonts w:ascii="Arial" w:hAnsi="Arial" w:cs="Arial"/>
        </w:rPr>
        <w:t xml:space="preserve"> 1</w:t>
      </w:r>
      <w:r w:rsidRPr="00E044C5">
        <w:rPr>
          <w:rFonts w:ascii="Arial" w:hAnsi="Arial" w:cs="Arial"/>
        </w:rPr>
        <w:t>,</w:t>
      </w:r>
      <w:r w:rsidR="002A5CB1">
        <w:rPr>
          <w:rFonts w:ascii="Arial" w:hAnsi="Arial" w:cs="Arial"/>
        </w:rPr>
        <w:t>703</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237C1B" w:rsidP="00237C1B">
            <w:pPr>
              <w:pStyle w:val="Number"/>
              <w:keepLines w:val="0"/>
              <w:tabs>
                <w:tab w:val="decimal" w:pos="1448"/>
              </w:tabs>
              <w:rPr>
                <w:rFonts w:ascii="Arial" w:hAnsi="Arial" w:cs="Arial"/>
                <w:color w:val="000000"/>
              </w:rPr>
            </w:pPr>
            <w:r>
              <w:rPr>
                <w:rFonts w:ascii="Arial" w:hAnsi="Arial" w:cs="Arial"/>
                <w:color w:val="000000"/>
              </w:rPr>
              <w:t>8</w:t>
            </w:r>
            <w:r w:rsidR="00D41D3E">
              <w:rPr>
                <w:rFonts w:ascii="Arial" w:hAnsi="Arial" w:cs="Arial"/>
                <w:color w:val="000000"/>
              </w:rPr>
              <w:t>,</w:t>
            </w:r>
            <w:r>
              <w:rPr>
                <w:rFonts w:ascii="Arial" w:hAnsi="Arial" w:cs="Arial"/>
                <w:color w:val="000000"/>
              </w:rPr>
              <w:t>1</w:t>
            </w:r>
            <w:r w:rsidR="009031BD">
              <w:rPr>
                <w:rFonts w:ascii="Arial" w:hAnsi="Arial" w:cs="Arial"/>
                <w:color w:val="000000"/>
              </w:rPr>
              <w:t>06</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tcBorders>
              <w:top w:val="nil"/>
              <w:left w:val="nil"/>
              <w:bottom w:val="nil"/>
              <w:right w:val="nil"/>
            </w:tcBorders>
          </w:tcPr>
          <w:p w:rsidR="00B12CDA" w:rsidRPr="00E044C5" w:rsidRDefault="002A5CB1" w:rsidP="002A5CB1">
            <w:pPr>
              <w:pStyle w:val="Number"/>
              <w:keepLines w:val="0"/>
              <w:tabs>
                <w:tab w:val="decimal" w:pos="1448"/>
              </w:tabs>
              <w:rPr>
                <w:rFonts w:ascii="Arial" w:hAnsi="Arial" w:cs="Arial"/>
                <w:color w:val="000000"/>
              </w:rPr>
            </w:pPr>
            <w:r>
              <w:rPr>
                <w:rFonts w:ascii="Arial" w:hAnsi="Arial" w:cs="Arial"/>
                <w:color w:val="000000"/>
              </w:rPr>
              <w:t>2</w:t>
            </w:r>
            <w:r w:rsidR="00B12CDA" w:rsidRPr="00E044C5">
              <w:rPr>
                <w:rFonts w:ascii="Arial" w:hAnsi="Arial" w:cs="Arial"/>
                <w:color w:val="000000"/>
              </w:rPr>
              <w:t>,</w:t>
            </w:r>
            <w:r>
              <w:rPr>
                <w:rFonts w:ascii="Arial" w:hAnsi="Arial" w:cs="Arial"/>
                <w:color w:val="000000"/>
              </w:rPr>
              <w:t>038</w:t>
            </w: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2A5CB1">
        <w:rPr>
          <w:rFonts w:ascii="Arial" w:hAnsi="Arial" w:cs="Arial"/>
        </w:rPr>
        <w:t>31</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8258A1">
        <w:rPr>
          <w:rFonts w:ascii="Arial" w:hAnsi="Arial" w:cs="Arial"/>
        </w:rPr>
        <w:t>1</w:t>
      </w:r>
      <w:r w:rsidR="001819B6">
        <w:rPr>
          <w:rFonts w:ascii="Arial" w:hAnsi="Arial" w:cs="Arial"/>
        </w:rPr>
        <w:t>0</w:t>
      </w:r>
      <w:r w:rsidRPr="00E044C5">
        <w:rPr>
          <w:rFonts w:ascii="Arial" w:hAnsi="Arial" w:cs="Arial"/>
        </w:rPr>
        <w:tab/>
      </w:r>
      <w:r w:rsidR="00D61263">
        <w:rPr>
          <w:rFonts w:ascii="Arial" w:hAnsi="Arial" w:cs="Arial"/>
        </w:rPr>
        <w:t>1</w:t>
      </w:r>
      <w:r w:rsidR="002A5CB1">
        <w:rPr>
          <w:rFonts w:ascii="Arial" w:hAnsi="Arial" w:cs="Arial"/>
        </w:rPr>
        <w:t>8</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1819B6" w:rsidP="00207560">
            <w:pPr>
              <w:pStyle w:val="Number"/>
              <w:keepLines w:val="0"/>
              <w:tabs>
                <w:tab w:val="decimal" w:pos="1448"/>
              </w:tabs>
              <w:rPr>
                <w:rFonts w:ascii="Arial" w:hAnsi="Arial" w:cs="Arial"/>
                <w:color w:val="000000"/>
              </w:rPr>
            </w:pPr>
            <w:r>
              <w:rPr>
                <w:rFonts w:ascii="Arial" w:hAnsi="Arial" w:cs="Arial"/>
                <w:color w:val="000000"/>
              </w:rPr>
              <w:t>10</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A5CB1" w:rsidP="008E26C4">
            <w:pPr>
              <w:pStyle w:val="Number"/>
              <w:keepLines w:val="0"/>
              <w:tabs>
                <w:tab w:val="decimal" w:pos="1448"/>
              </w:tabs>
              <w:rPr>
                <w:rFonts w:ascii="Arial" w:hAnsi="Arial" w:cs="Arial"/>
                <w:color w:val="000000"/>
              </w:rPr>
            </w:pPr>
            <w:r>
              <w:rPr>
                <w:rFonts w:ascii="Arial" w:hAnsi="Arial" w:cs="Arial"/>
                <w:color w:val="000000"/>
              </w:rPr>
              <w:t>49</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237C1B">
        <w:rPr>
          <w:rFonts w:ascii="Arial" w:hAnsi="Arial" w:cs="Arial"/>
        </w:rPr>
        <w:t>8</w:t>
      </w:r>
      <w:r w:rsidR="00D41D3E">
        <w:rPr>
          <w:rFonts w:ascii="Arial" w:hAnsi="Arial" w:cs="Arial"/>
        </w:rPr>
        <w:t>,</w:t>
      </w:r>
      <w:r w:rsidR="00237C1B">
        <w:rPr>
          <w:rFonts w:ascii="Arial" w:hAnsi="Arial" w:cs="Arial"/>
        </w:rPr>
        <w:t>1</w:t>
      </w:r>
      <w:r w:rsidR="009A0B60">
        <w:rPr>
          <w:rFonts w:ascii="Arial" w:hAnsi="Arial" w:cs="Arial"/>
        </w:rPr>
        <w:t>16</w:t>
      </w:r>
      <w:r w:rsidRPr="00E044C5">
        <w:rPr>
          <w:rFonts w:ascii="Arial" w:hAnsi="Arial" w:cs="Arial"/>
        </w:rPr>
        <w:tab/>
      </w:r>
      <w:r w:rsidR="002A5CB1">
        <w:rPr>
          <w:rFonts w:ascii="Arial" w:hAnsi="Arial" w:cs="Arial"/>
        </w:rPr>
        <w:t>2</w:t>
      </w:r>
      <w:r w:rsidRPr="00E044C5">
        <w:rPr>
          <w:rFonts w:ascii="Arial" w:hAnsi="Arial" w:cs="Arial"/>
        </w:rPr>
        <w:t>,</w:t>
      </w:r>
      <w:r w:rsidR="002A5CB1">
        <w:rPr>
          <w:rFonts w:ascii="Arial" w:hAnsi="Arial" w:cs="Arial"/>
        </w:rPr>
        <w:t>087</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(H. Toffolo fee)</w:t>
      </w:r>
      <w:bookmarkStart w:id="0" w:name="_GoBack"/>
      <w:bookmarkEnd w:id="0"/>
      <w:r w:rsidR="00B12CDA" w:rsidRPr="00E044C5">
        <w:rPr>
          <w:rFonts w:ascii="Arial" w:hAnsi="Arial" w:cs="Arial"/>
        </w:rPr>
        <w:tab/>
      </w:r>
      <w:r w:rsidR="001819B6">
        <w:rPr>
          <w:rFonts w:ascii="Arial" w:hAnsi="Arial" w:cs="Arial"/>
        </w:rPr>
        <w:t>12,0</w:t>
      </w:r>
      <w:r>
        <w:rPr>
          <w:rFonts w:ascii="Arial" w:hAnsi="Arial" w:cs="Arial"/>
        </w:rPr>
        <w:t xml:space="preserve">00                </w:t>
      </w:r>
      <w:r w:rsidR="002A5CB1">
        <w:rPr>
          <w:rFonts w:ascii="Arial" w:hAnsi="Arial" w:cs="Arial"/>
        </w:rPr>
        <w:t xml:space="preserve">                               200</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237C1B">
        <w:rPr>
          <w:rFonts w:ascii="Arial" w:hAnsi="Arial" w:cs="Arial"/>
        </w:rPr>
        <w:t>3</w:t>
      </w:r>
      <w:r w:rsidR="001819B6">
        <w:rPr>
          <w:rFonts w:ascii="Arial" w:hAnsi="Arial" w:cs="Arial"/>
        </w:rPr>
        <w:t>,</w:t>
      </w:r>
      <w:r w:rsidR="00237C1B">
        <w:rPr>
          <w:rFonts w:ascii="Arial" w:hAnsi="Arial" w:cs="Arial"/>
        </w:rPr>
        <w:t>0</w:t>
      </w:r>
      <w:r w:rsidR="001819B6">
        <w:rPr>
          <w:rFonts w:ascii="Arial" w:hAnsi="Arial" w:cs="Arial"/>
        </w:rPr>
        <w:t>5</w:t>
      </w:r>
      <w:r w:rsidR="00F3648D">
        <w:rPr>
          <w:rFonts w:ascii="Arial" w:hAnsi="Arial" w:cs="Arial"/>
        </w:rPr>
        <w:t>3</w:t>
      </w:r>
      <w:r w:rsidRPr="00E044C5">
        <w:rPr>
          <w:rFonts w:ascii="Arial" w:hAnsi="Arial" w:cs="Arial"/>
        </w:rPr>
        <w:tab/>
      </w:r>
      <w:r w:rsidR="002A5CB1">
        <w:rPr>
          <w:rFonts w:ascii="Arial" w:hAnsi="Arial" w:cs="Arial"/>
        </w:rPr>
        <w:t>444</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w:t>
      </w:r>
      <w:r w:rsidR="001819B6">
        <w:rPr>
          <w:rFonts w:ascii="Arial" w:hAnsi="Arial" w:cs="Arial"/>
        </w:rPr>
        <w:t>urvey</w:t>
      </w:r>
      <w:r w:rsidRPr="00E044C5">
        <w:rPr>
          <w:rFonts w:ascii="Arial" w:hAnsi="Arial" w:cs="Arial"/>
        </w:rPr>
        <w:t xml:space="preserve"> costs</w:t>
      </w:r>
      <w:r w:rsidRPr="00E044C5">
        <w:rPr>
          <w:rFonts w:ascii="Arial" w:hAnsi="Arial" w:cs="Arial"/>
        </w:rPr>
        <w:tab/>
      </w:r>
      <w:r w:rsidR="00F3648D">
        <w:rPr>
          <w:rFonts w:ascii="Arial" w:hAnsi="Arial" w:cs="Arial"/>
        </w:rPr>
        <w:t>5</w:t>
      </w:r>
      <w:r w:rsidR="001819B6">
        <w:rPr>
          <w:rFonts w:ascii="Arial" w:hAnsi="Arial" w:cs="Arial"/>
        </w:rPr>
        <w:t>,</w:t>
      </w:r>
      <w:r w:rsidR="00F3648D">
        <w:rPr>
          <w:rFonts w:ascii="Arial" w:hAnsi="Arial" w:cs="Arial"/>
        </w:rPr>
        <w:t>454</w:t>
      </w:r>
      <w:r w:rsidRPr="00E044C5">
        <w:rPr>
          <w:rFonts w:ascii="Arial" w:hAnsi="Arial" w:cs="Arial"/>
        </w:rPr>
        <w:tab/>
      </w:r>
      <w:r w:rsidR="00716B83">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1819B6">
        <w:rPr>
          <w:rFonts w:ascii="Arial" w:hAnsi="Arial" w:cs="Arial"/>
        </w:rPr>
        <w:t>360</w:t>
      </w:r>
      <w:r w:rsidR="002C41D5">
        <w:rPr>
          <w:rFonts w:ascii="Arial" w:hAnsi="Arial" w:cs="Arial"/>
        </w:rPr>
        <w:t xml:space="preserve">      </w:t>
      </w:r>
      <w:r w:rsidR="004A6F7B">
        <w:rPr>
          <w:rFonts w:ascii="Arial" w:hAnsi="Arial" w:cs="Arial"/>
        </w:rPr>
        <w:t xml:space="preserve">                                        </w:t>
      </w:r>
      <w:r w:rsidR="002A5CB1">
        <w:rPr>
          <w:rFonts w:ascii="Arial" w:hAnsi="Arial" w:cs="Arial"/>
        </w:rPr>
        <w:t>471</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Loss on </w:t>
      </w:r>
      <w:r w:rsidR="001E59A4">
        <w:rPr>
          <w:rFonts w:ascii="Arial" w:hAnsi="Arial" w:cs="Arial"/>
        </w:rPr>
        <w:t>s</w:t>
      </w:r>
      <w:r w:rsidR="001819B6">
        <w:rPr>
          <w:rFonts w:ascii="Arial" w:hAnsi="Arial" w:cs="Arial"/>
        </w:rPr>
        <w:t xml:space="preserve">tock                     </w:t>
      </w:r>
      <w:r>
        <w:rPr>
          <w:rFonts w:ascii="Arial" w:hAnsi="Arial" w:cs="Arial"/>
        </w:rPr>
        <w:t xml:space="preserve">                                                      </w:t>
      </w:r>
      <w:r w:rsidR="008258A1">
        <w:rPr>
          <w:rFonts w:ascii="Arial" w:hAnsi="Arial" w:cs="Arial"/>
        </w:rPr>
        <w:t xml:space="preserve">      </w:t>
      </w:r>
      <w:r w:rsidR="001819B6">
        <w:rPr>
          <w:rFonts w:ascii="Arial" w:hAnsi="Arial" w:cs="Arial"/>
        </w:rPr>
        <w:t>25</w:t>
      </w:r>
      <w:r w:rsidR="008258A1">
        <w:rPr>
          <w:rFonts w:ascii="Arial" w:hAnsi="Arial" w:cs="Arial"/>
        </w:rPr>
        <w:t xml:space="preserve"> </w:t>
      </w:r>
      <w:r>
        <w:rPr>
          <w:rFonts w:ascii="Arial" w:hAnsi="Arial" w:cs="Arial"/>
        </w:rPr>
        <w:t xml:space="preserve">               </w:t>
      </w:r>
      <w:r w:rsidR="008E26C4">
        <w:rPr>
          <w:rFonts w:ascii="Arial" w:hAnsi="Arial" w:cs="Arial"/>
        </w:rPr>
        <w:t xml:space="preserve">                           </w:t>
      </w:r>
      <w:r w:rsidR="00D61263">
        <w:rPr>
          <w:rFonts w:ascii="Arial" w:hAnsi="Arial" w:cs="Arial"/>
        </w:rPr>
        <w:t xml:space="preserve">        -</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15</w:t>
      </w:r>
      <w:r>
        <w:rPr>
          <w:rFonts w:ascii="Arial" w:hAnsi="Arial" w:cs="Arial"/>
        </w:rPr>
        <w:t xml:space="preserve">5                                              </w:t>
      </w:r>
      <w:r w:rsidR="007F6505">
        <w:rPr>
          <w:rFonts w:ascii="Arial" w:hAnsi="Arial" w:cs="Arial"/>
        </w:rPr>
        <w:t>1</w:t>
      </w:r>
      <w:r w:rsidR="002A5CB1">
        <w:rPr>
          <w:rFonts w:ascii="Arial" w:hAnsi="Arial" w:cs="Arial"/>
        </w:rPr>
        <w:t>5</w:t>
      </w:r>
      <w:r w:rsidR="007F6505">
        <w:rPr>
          <w:rFonts w:ascii="Arial" w:hAnsi="Arial" w:cs="Arial"/>
        </w:rPr>
        <w:t>5</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37C1B" w:rsidP="00237C1B">
            <w:pPr>
              <w:pStyle w:val="Number"/>
              <w:keepLines w:val="0"/>
              <w:tabs>
                <w:tab w:val="decimal" w:pos="1448"/>
              </w:tabs>
              <w:rPr>
                <w:rFonts w:ascii="Arial" w:hAnsi="Arial" w:cs="Arial"/>
                <w:color w:val="000000"/>
              </w:rPr>
            </w:pPr>
            <w:r>
              <w:rPr>
                <w:rFonts w:ascii="Arial" w:hAnsi="Arial" w:cs="Arial"/>
                <w:color w:val="000000"/>
              </w:rPr>
              <w:t>21</w:t>
            </w:r>
            <w:r w:rsidR="00207560">
              <w:rPr>
                <w:rFonts w:ascii="Arial" w:hAnsi="Arial" w:cs="Arial"/>
                <w:color w:val="000000"/>
              </w:rPr>
              <w:t>,</w:t>
            </w:r>
            <w:r>
              <w:rPr>
                <w:rFonts w:ascii="Arial" w:hAnsi="Arial" w:cs="Arial"/>
                <w:color w:val="000000"/>
              </w:rPr>
              <w:t>0</w:t>
            </w:r>
            <w:r w:rsidR="00F3648D">
              <w:rPr>
                <w:rFonts w:ascii="Arial" w:hAnsi="Arial" w:cs="Arial"/>
                <w:color w:val="000000"/>
              </w:rPr>
              <w:t>47</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A5CB1" w:rsidP="002A5CB1">
            <w:pPr>
              <w:pStyle w:val="Number"/>
              <w:keepLines w:val="0"/>
              <w:tabs>
                <w:tab w:val="decimal" w:pos="1448"/>
              </w:tabs>
              <w:rPr>
                <w:rFonts w:ascii="Arial" w:hAnsi="Arial" w:cs="Arial"/>
                <w:color w:val="000000"/>
              </w:rPr>
            </w:pPr>
            <w:r>
              <w:rPr>
                <w:rFonts w:ascii="Arial" w:hAnsi="Arial" w:cs="Arial"/>
                <w:color w:val="000000"/>
              </w:rPr>
              <w:t>1,270</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1819B6">
        <w:rPr>
          <w:rFonts w:ascii="Arial" w:hAnsi="Arial" w:cs="Arial"/>
        </w:rPr>
        <w:t>(1</w:t>
      </w:r>
      <w:r w:rsidR="00F3648D">
        <w:rPr>
          <w:rFonts w:ascii="Arial" w:hAnsi="Arial" w:cs="Arial"/>
        </w:rPr>
        <w:t>2</w:t>
      </w:r>
      <w:r w:rsidR="001819B6">
        <w:rPr>
          <w:rFonts w:ascii="Arial" w:hAnsi="Arial" w:cs="Arial"/>
        </w:rPr>
        <w:t>,</w:t>
      </w:r>
      <w:r w:rsidR="009A0B60">
        <w:rPr>
          <w:rFonts w:ascii="Arial" w:hAnsi="Arial" w:cs="Arial"/>
        </w:rPr>
        <w:t>931</w:t>
      </w:r>
      <w:r w:rsidR="001819B6">
        <w:rPr>
          <w:rFonts w:ascii="Arial" w:hAnsi="Arial" w:cs="Arial"/>
        </w:rPr>
        <w:t>)</w:t>
      </w:r>
      <w:r w:rsidRPr="00E044C5">
        <w:rPr>
          <w:rFonts w:ascii="Arial" w:hAnsi="Arial" w:cs="Arial"/>
        </w:rPr>
        <w:tab/>
      </w:r>
      <w:r w:rsidR="002A5CB1">
        <w:rPr>
          <w:rFonts w:ascii="Arial" w:hAnsi="Arial" w:cs="Arial"/>
        </w:rPr>
        <w:t>817</w:t>
      </w:r>
    </w:p>
    <w:p w:rsidR="002A5CB1" w:rsidRPr="00E044C5" w:rsidRDefault="002A5CB1" w:rsidP="002A5CB1">
      <w:pPr>
        <w:keepLines w:val="0"/>
        <w:tabs>
          <w:tab w:val="decimal" w:pos="7820"/>
          <w:tab w:val="decimal" w:pos="10719"/>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D71C4F">
        <w:rPr>
          <w:rFonts w:ascii="Arial" w:hAnsi="Arial" w:cs="Arial"/>
        </w:rPr>
        <w:t>1</w:t>
      </w:r>
      <w:r w:rsidR="001819B6">
        <w:rPr>
          <w:rFonts w:ascii="Arial" w:hAnsi="Arial" w:cs="Arial"/>
        </w:rPr>
        <w:t>0</w:t>
      </w:r>
      <w:r w:rsidRPr="00E044C5">
        <w:rPr>
          <w:rFonts w:ascii="Arial" w:hAnsi="Arial" w:cs="Arial"/>
        </w:rPr>
        <w:tab/>
      </w:r>
      <w:r w:rsidR="002A5CB1">
        <w:rPr>
          <w:rFonts w:ascii="Arial" w:hAnsi="Arial" w:cs="Arial"/>
        </w:rPr>
        <w:t>18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819B6">
        <w:rPr>
          <w:rFonts w:ascii="Arial" w:hAnsi="Arial" w:cs="Arial"/>
        </w:rPr>
        <w:t>(1</w:t>
      </w:r>
      <w:r w:rsidR="00F3648D">
        <w:rPr>
          <w:rFonts w:ascii="Arial" w:hAnsi="Arial" w:cs="Arial"/>
        </w:rPr>
        <w:t>2</w:t>
      </w:r>
      <w:r w:rsidR="001819B6">
        <w:rPr>
          <w:rFonts w:ascii="Arial" w:hAnsi="Arial" w:cs="Arial"/>
        </w:rPr>
        <w:t>,</w:t>
      </w:r>
      <w:r w:rsidR="009A0B60">
        <w:rPr>
          <w:rFonts w:ascii="Arial" w:hAnsi="Arial" w:cs="Arial"/>
        </w:rPr>
        <w:t>941</w:t>
      </w:r>
      <w:r w:rsidR="001819B6">
        <w:rPr>
          <w:rFonts w:ascii="Arial" w:hAnsi="Arial" w:cs="Arial"/>
        </w:rPr>
        <w:t>)</w:t>
      </w:r>
      <w:r w:rsidRPr="00E044C5">
        <w:rPr>
          <w:rFonts w:ascii="Arial" w:hAnsi="Arial" w:cs="Arial"/>
        </w:rPr>
        <w:tab/>
      </w:r>
      <w:r w:rsidR="002A5CB1">
        <w:rPr>
          <w:rFonts w:ascii="Arial" w:hAnsi="Arial" w:cs="Arial"/>
        </w:rPr>
        <w:t>799</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1819B6">
        <w:trPr>
          <w:gridBefore w:val="2"/>
          <w:wBefore w:w="1465" w:type="dxa"/>
        </w:trPr>
        <w:tc>
          <w:tcPr>
            <w:tcW w:w="708" w:type="dxa"/>
            <w:gridSpan w:val="2"/>
            <w:tcBorders>
              <w:top w:val="single" w:sz="6" w:space="0" w:color="auto"/>
              <w:left w:val="nil"/>
              <w:bottom w:val="nil"/>
              <w:right w:val="nil"/>
            </w:tcBorders>
          </w:tcPr>
          <w:p w:rsidR="00B12CDA" w:rsidRPr="00E044C5" w:rsidRDefault="004A6F7B" w:rsidP="009A0B60">
            <w:pPr>
              <w:pStyle w:val="Number"/>
              <w:keepLines w:val="0"/>
              <w:ind w:right="-149"/>
              <w:rPr>
                <w:rFonts w:ascii="Arial" w:hAnsi="Arial" w:cs="Arial"/>
                <w:color w:val="000000"/>
              </w:rPr>
            </w:pPr>
            <w:r>
              <w:rPr>
                <w:rFonts w:ascii="Arial" w:hAnsi="Arial" w:cs="Arial"/>
                <w:color w:val="000000"/>
              </w:rPr>
              <w:t xml:space="preserve"> </w:t>
            </w:r>
            <w:r w:rsidR="000B1E23">
              <w:rPr>
                <w:rFonts w:ascii="Arial" w:hAnsi="Arial" w:cs="Arial"/>
                <w:color w:val="000000"/>
              </w:rPr>
              <w:t xml:space="preserve">  </w:t>
            </w:r>
            <w:r w:rsidR="001819B6">
              <w:rPr>
                <w:rFonts w:ascii="Arial" w:hAnsi="Arial" w:cs="Arial"/>
                <w:color w:val="000000"/>
              </w:rPr>
              <w:t>(1</w:t>
            </w:r>
            <w:r w:rsidR="00F3648D">
              <w:rPr>
                <w:rFonts w:ascii="Arial" w:hAnsi="Arial" w:cs="Arial"/>
                <w:color w:val="000000"/>
              </w:rPr>
              <w:t>2</w:t>
            </w:r>
            <w:r w:rsidR="001819B6">
              <w:rPr>
                <w:rFonts w:ascii="Arial" w:hAnsi="Arial" w:cs="Arial"/>
                <w:color w:val="000000"/>
              </w:rPr>
              <w:t>,</w:t>
            </w:r>
            <w:r w:rsidR="009A0B60">
              <w:rPr>
                <w:rFonts w:ascii="Arial" w:hAnsi="Arial" w:cs="Arial"/>
                <w:color w:val="000000"/>
              </w:rPr>
              <w:t>941</w:t>
            </w:r>
            <w:r w:rsidR="001819B6">
              <w:rPr>
                <w:rFonts w:ascii="Arial" w:hAnsi="Arial" w:cs="Arial"/>
                <w:color w:val="000000"/>
              </w:rPr>
              <w:t>)</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2A5CB1">
            <w:pPr>
              <w:pStyle w:val="Number"/>
              <w:keepLines w:val="0"/>
              <w:rPr>
                <w:rFonts w:ascii="Arial" w:hAnsi="Arial" w:cs="Arial"/>
                <w:color w:val="000000"/>
              </w:rPr>
            </w:pPr>
            <w:r>
              <w:rPr>
                <w:rFonts w:ascii="Arial" w:hAnsi="Arial" w:cs="Arial"/>
                <w:color w:val="000000"/>
              </w:rPr>
              <w:t xml:space="preserve">  </w:t>
            </w:r>
            <w:r w:rsidR="002A5CB1">
              <w:rPr>
                <w:rFonts w:ascii="Arial" w:hAnsi="Arial" w:cs="Arial"/>
                <w:color w:val="000000"/>
              </w:rPr>
              <w:t xml:space="preserve">  799</w:t>
            </w:r>
          </w:p>
        </w:tc>
      </w:tr>
      <w:tr w:rsidR="001819B6" w:rsidRPr="00E044C5" w:rsidTr="001819B6">
        <w:trPr>
          <w:gridBefore w:val="2"/>
          <w:wBefore w:w="1465" w:type="dxa"/>
        </w:trPr>
        <w:tc>
          <w:tcPr>
            <w:tcW w:w="708" w:type="dxa"/>
            <w:gridSpan w:val="2"/>
            <w:tcBorders>
              <w:top w:val="single" w:sz="6" w:space="0" w:color="auto"/>
              <w:left w:val="nil"/>
              <w:bottom w:val="nil"/>
              <w:right w:val="nil"/>
            </w:tcBorders>
          </w:tcPr>
          <w:p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rsidR="001819B6" w:rsidRPr="00E044C5" w:rsidRDefault="001819B6"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1819B6" w:rsidRDefault="001819B6" w:rsidP="002A5CB1">
            <w:pPr>
              <w:pStyle w:val="Number"/>
              <w:keepLines w:val="0"/>
              <w:rPr>
                <w:rFonts w:ascii="Arial" w:hAnsi="Arial" w:cs="Arial"/>
                <w:color w:val="000000"/>
              </w:rPr>
            </w:pPr>
          </w:p>
        </w:tc>
      </w:tr>
      <w:tr w:rsidR="00B12CDA" w:rsidRPr="00E044C5" w:rsidTr="001819B6">
        <w:trPr>
          <w:gridBefore w:val="2"/>
          <w:wBefore w:w="1465" w:type="dxa"/>
        </w:trPr>
        <w:tc>
          <w:tcPr>
            <w:tcW w:w="590"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D7" w:rsidRDefault="00BF18D7">
      <w:r>
        <w:separator/>
      </w:r>
    </w:p>
  </w:endnote>
  <w:endnote w:type="continuationSeparator" w:id="0">
    <w:p w:rsidR="00BF18D7" w:rsidRDefault="00BF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1BD" w:rsidRDefault="009031BD"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10</w:t>
    </w:r>
    <w:r>
      <w:rPr>
        <w:rStyle w:val="PageNumber"/>
      </w:rPr>
      <w:fldChar w:fldCharType="end"/>
    </w:r>
    <w:r>
      <w:tab/>
      <w:t>continued...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12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s>
      <w:ind w:left="438" w:right="438"/>
    </w:pPr>
  </w:p>
  <w:p w:rsidR="009031BD" w:rsidRDefault="009031BD">
    <w:pPr>
      <w:keepLines w:val="0"/>
      <w:tabs>
        <w:tab w:val="left" w:pos="438"/>
      </w:tabs>
      <w:ind w:left="438" w:right="438"/>
    </w:pPr>
  </w:p>
  <w:p w:rsidR="009031BD" w:rsidRDefault="009031BD">
    <w:pPr>
      <w:keepLines w:val="0"/>
      <w:tabs>
        <w:tab w:val="left" w:pos="438"/>
        <w:tab w:val="center" w:pos="5580"/>
      </w:tabs>
      <w:ind w:left="438" w:right="438"/>
    </w:pPr>
    <w:r>
      <w:tab/>
      <w:t>This page does not form part of the statutory financial statements</w:t>
    </w:r>
  </w:p>
  <w:p w:rsidR="009031BD" w:rsidRDefault="009031BD">
    <w:pPr>
      <w:keepLines w:val="0"/>
      <w:tabs>
        <w:tab w:val="left" w:pos="438"/>
      </w:tabs>
      <w:ind w:left="438" w:right="438"/>
    </w:pPr>
  </w:p>
  <w:p w:rsidR="009031BD" w:rsidRDefault="009031BD">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19E">
      <w:rPr>
        <w:rStyle w:val="PageNumber"/>
        <w:noProof/>
      </w:rPr>
      <w:t>2</w:t>
    </w:r>
    <w:r>
      <w:rPr>
        <w:rStyle w:val="PageNumber"/>
      </w:rPr>
      <w:fldChar w:fldCharType="end"/>
    </w:r>
  </w:p>
  <w:p w:rsidR="009031BD" w:rsidRDefault="009031BD"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4</w:t>
    </w:r>
    <w:r>
      <w:rPr>
        <w:rStyle w:val="PageNumber"/>
      </w:rPr>
      <w:fldChar w:fldCharType="end"/>
    </w:r>
  </w:p>
  <w:p w:rsidR="009031BD" w:rsidRDefault="009031BD">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 w:val="center" w:pos="5645"/>
      </w:tabs>
      <w:ind w:left="438" w:right="438"/>
    </w:pPr>
    <w:r>
      <w:tab/>
      <w:t>The notes form part of these financial statements</w:t>
    </w:r>
  </w:p>
  <w:p w:rsidR="009031BD" w:rsidRDefault="009031BD">
    <w:pPr>
      <w:keepLines w:val="0"/>
      <w:tabs>
        <w:tab w:val="left" w:pos="438"/>
      </w:tabs>
      <w:ind w:left="438" w:right="438"/>
    </w:pPr>
  </w:p>
  <w:p w:rsidR="009031BD" w:rsidRDefault="009031BD">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BD" w:rsidRDefault="009031BD">
    <w:pPr>
      <w:keepLines w:val="0"/>
      <w:tabs>
        <w:tab w:val="left" w:pos="438"/>
      </w:tabs>
      <w:ind w:left="438" w:right="438"/>
    </w:pPr>
  </w:p>
  <w:p w:rsidR="009031BD" w:rsidRDefault="009031BD">
    <w:pPr>
      <w:keepLines w:val="0"/>
      <w:tabs>
        <w:tab w:val="left" w:pos="438"/>
        <w:tab w:val="center" w:pos="5645"/>
      </w:tabs>
      <w:ind w:left="438" w:right="438"/>
    </w:pPr>
    <w:r>
      <w:tab/>
      <w:t>The notes form part of these financial statements</w:t>
    </w:r>
  </w:p>
  <w:p w:rsidR="009031BD" w:rsidRDefault="009031BD">
    <w:pPr>
      <w:keepLines w:val="0"/>
      <w:tabs>
        <w:tab w:val="left" w:pos="438"/>
      </w:tabs>
      <w:ind w:left="438" w:right="438"/>
    </w:pPr>
  </w:p>
  <w:p w:rsidR="009031BD" w:rsidRDefault="009031BD">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1C4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D7" w:rsidRDefault="00BF18D7">
      <w:r>
        <w:separator/>
      </w:r>
    </w:p>
  </w:footnote>
  <w:footnote w:type="continuationSeparator" w:id="0">
    <w:p w:rsidR="00BF18D7" w:rsidRDefault="00BF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114CB"/>
    <w:rsid w:val="00041287"/>
    <w:rsid w:val="000451D5"/>
    <w:rsid w:val="00061522"/>
    <w:rsid w:val="0006303A"/>
    <w:rsid w:val="00071A7D"/>
    <w:rsid w:val="00084480"/>
    <w:rsid w:val="00084E7B"/>
    <w:rsid w:val="000A2C2B"/>
    <w:rsid w:val="000B1E23"/>
    <w:rsid w:val="000B4FCD"/>
    <w:rsid w:val="000D5B6D"/>
    <w:rsid w:val="000F7C63"/>
    <w:rsid w:val="000F7DE3"/>
    <w:rsid w:val="00117283"/>
    <w:rsid w:val="001320E3"/>
    <w:rsid w:val="00134650"/>
    <w:rsid w:val="00142802"/>
    <w:rsid w:val="001539C6"/>
    <w:rsid w:val="00157577"/>
    <w:rsid w:val="001735E2"/>
    <w:rsid w:val="00176BE3"/>
    <w:rsid w:val="001819B6"/>
    <w:rsid w:val="00194798"/>
    <w:rsid w:val="001A2034"/>
    <w:rsid w:val="001A23EA"/>
    <w:rsid w:val="001B5F11"/>
    <w:rsid w:val="001D1591"/>
    <w:rsid w:val="001D433F"/>
    <w:rsid w:val="001E59A4"/>
    <w:rsid w:val="001F48A3"/>
    <w:rsid w:val="001F7E07"/>
    <w:rsid w:val="00202E11"/>
    <w:rsid w:val="00207560"/>
    <w:rsid w:val="002122D0"/>
    <w:rsid w:val="00223434"/>
    <w:rsid w:val="002250A6"/>
    <w:rsid w:val="00237AC0"/>
    <w:rsid w:val="00237C1B"/>
    <w:rsid w:val="002677A1"/>
    <w:rsid w:val="0027007A"/>
    <w:rsid w:val="00287F8F"/>
    <w:rsid w:val="002A3ADA"/>
    <w:rsid w:val="002A5CB1"/>
    <w:rsid w:val="002A7CFE"/>
    <w:rsid w:val="002B4093"/>
    <w:rsid w:val="002B4356"/>
    <w:rsid w:val="002B5B92"/>
    <w:rsid w:val="002C41D5"/>
    <w:rsid w:val="002F1E45"/>
    <w:rsid w:val="00305C3D"/>
    <w:rsid w:val="00322AB6"/>
    <w:rsid w:val="00324F8D"/>
    <w:rsid w:val="00350594"/>
    <w:rsid w:val="00356E85"/>
    <w:rsid w:val="00371153"/>
    <w:rsid w:val="003767DA"/>
    <w:rsid w:val="00376E63"/>
    <w:rsid w:val="00391350"/>
    <w:rsid w:val="00396214"/>
    <w:rsid w:val="003B393C"/>
    <w:rsid w:val="003B71FE"/>
    <w:rsid w:val="003C3437"/>
    <w:rsid w:val="003E399C"/>
    <w:rsid w:val="003E5196"/>
    <w:rsid w:val="003F08CC"/>
    <w:rsid w:val="003F69F0"/>
    <w:rsid w:val="004029AE"/>
    <w:rsid w:val="00403B4E"/>
    <w:rsid w:val="00406822"/>
    <w:rsid w:val="00414D8C"/>
    <w:rsid w:val="00431120"/>
    <w:rsid w:val="0043384A"/>
    <w:rsid w:val="00444E9B"/>
    <w:rsid w:val="0045386A"/>
    <w:rsid w:val="00463AA9"/>
    <w:rsid w:val="004669B6"/>
    <w:rsid w:val="00483326"/>
    <w:rsid w:val="00491A7A"/>
    <w:rsid w:val="00495C0D"/>
    <w:rsid w:val="004A6F7B"/>
    <w:rsid w:val="004B4530"/>
    <w:rsid w:val="004B5D6E"/>
    <w:rsid w:val="004C4C79"/>
    <w:rsid w:val="004C519E"/>
    <w:rsid w:val="0050240F"/>
    <w:rsid w:val="0050781B"/>
    <w:rsid w:val="00522FC9"/>
    <w:rsid w:val="00524419"/>
    <w:rsid w:val="0053088F"/>
    <w:rsid w:val="00544CB9"/>
    <w:rsid w:val="00547D00"/>
    <w:rsid w:val="005504B7"/>
    <w:rsid w:val="00580010"/>
    <w:rsid w:val="005A6EF0"/>
    <w:rsid w:val="005C615F"/>
    <w:rsid w:val="005D4259"/>
    <w:rsid w:val="005F5B97"/>
    <w:rsid w:val="005F7E6A"/>
    <w:rsid w:val="00606713"/>
    <w:rsid w:val="00607719"/>
    <w:rsid w:val="0061082C"/>
    <w:rsid w:val="0061543C"/>
    <w:rsid w:val="00626365"/>
    <w:rsid w:val="00655412"/>
    <w:rsid w:val="00671355"/>
    <w:rsid w:val="00675E88"/>
    <w:rsid w:val="00680896"/>
    <w:rsid w:val="006808A0"/>
    <w:rsid w:val="006821AD"/>
    <w:rsid w:val="006A189F"/>
    <w:rsid w:val="006A46C0"/>
    <w:rsid w:val="006B173B"/>
    <w:rsid w:val="006B41E1"/>
    <w:rsid w:val="006C3AC5"/>
    <w:rsid w:val="006C5083"/>
    <w:rsid w:val="006C5C84"/>
    <w:rsid w:val="006E2709"/>
    <w:rsid w:val="006E5C5F"/>
    <w:rsid w:val="006F3D32"/>
    <w:rsid w:val="006F5C28"/>
    <w:rsid w:val="00710615"/>
    <w:rsid w:val="007152B9"/>
    <w:rsid w:val="007162CC"/>
    <w:rsid w:val="00716B83"/>
    <w:rsid w:val="007203E5"/>
    <w:rsid w:val="00740966"/>
    <w:rsid w:val="007554FC"/>
    <w:rsid w:val="0075710C"/>
    <w:rsid w:val="00761B65"/>
    <w:rsid w:val="00766DAB"/>
    <w:rsid w:val="007703D1"/>
    <w:rsid w:val="00777327"/>
    <w:rsid w:val="007849F0"/>
    <w:rsid w:val="007C37F2"/>
    <w:rsid w:val="007D2FBF"/>
    <w:rsid w:val="007E6267"/>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972BC"/>
    <w:rsid w:val="008B66C6"/>
    <w:rsid w:val="008D1133"/>
    <w:rsid w:val="008D2790"/>
    <w:rsid w:val="008D550F"/>
    <w:rsid w:val="008E05FD"/>
    <w:rsid w:val="008E26C4"/>
    <w:rsid w:val="008F072B"/>
    <w:rsid w:val="009031BD"/>
    <w:rsid w:val="00961758"/>
    <w:rsid w:val="00967E2B"/>
    <w:rsid w:val="00986291"/>
    <w:rsid w:val="009A0B60"/>
    <w:rsid w:val="009D4F60"/>
    <w:rsid w:val="009F61C9"/>
    <w:rsid w:val="00A1714A"/>
    <w:rsid w:val="00A227FE"/>
    <w:rsid w:val="00A52CF4"/>
    <w:rsid w:val="00A565F8"/>
    <w:rsid w:val="00A61430"/>
    <w:rsid w:val="00A64F34"/>
    <w:rsid w:val="00A83808"/>
    <w:rsid w:val="00A90571"/>
    <w:rsid w:val="00A95665"/>
    <w:rsid w:val="00AA7903"/>
    <w:rsid w:val="00AB7DFD"/>
    <w:rsid w:val="00AC103E"/>
    <w:rsid w:val="00AD5615"/>
    <w:rsid w:val="00AD628C"/>
    <w:rsid w:val="00AE57CF"/>
    <w:rsid w:val="00B113E0"/>
    <w:rsid w:val="00B12CDA"/>
    <w:rsid w:val="00B14CB0"/>
    <w:rsid w:val="00B22499"/>
    <w:rsid w:val="00B34D24"/>
    <w:rsid w:val="00B41719"/>
    <w:rsid w:val="00B43087"/>
    <w:rsid w:val="00B55904"/>
    <w:rsid w:val="00B613BC"/>
    <w:rsid w:val="00B642A3"/>
    <w:rsid w:val="00B946C1"/>
    <w:rsid w:val="00B97DA1"/>
    <w:rsid w:val="00BA1B12"/>
    <w:rsid w:val="00BC1529"/>
    <w:rsid w:val="00BD3647"/>
    <w:rsid w:val="00BE5836"/>
    <w:rsid w:val="00BE6B89"/>
    <w:rsid w:val="00BF18D7"/>
    <w:rsid w:val="00C0451E"/>
    <w:rsid w:val="00C07E9E"/>
    <w:rsid w:val="00C54ED5"/>
    <w:rsid w:val="00C5735D"/>
    <w:rsid w:val="00C57BC7"/>
    <w:rsid w:val="00C61729"/>
    <w:rsid w:val="00C67117"/>
    <w:rsid w:val="00C73D16"/>
    <w:rsid w:val="00C97C8F"/>
    <w:rsid w:val="00CC55EB"/>
    <w:rsid w:val="00CC7175"/>
    <w:rsid w:val="00CD3912"/>
    <w:rsid w:val="00CE4411"/>
    <w:rsid w:val="00D11C42"/>
    <w:rsid w:val="00D16EB4"/>
    <w:rsid w:val="00D41D3E"/>
    <w:rsid w:val="00D60F6C"/>
    <w:rsid w:val="00D61263"/>
    <w:rsid w:val="00D67A46"/>
    <w:rsid w:val="00D67BCA"/>
    <w:rsid w:val="00D70498"/>
    <w:rsid w:val="00D71C4F"/>
    <w:rsid w:val="00DC2C41"/>
    <w:rsid w:val="00DD0676"/>
    <w:rsid w:val="00DD68EE"/>
    <w:rsid w:val="00DE60E1"/>
    <w:rsid w:val="00DF14CE"/>
    <w:rsid w:val="00E044C5"/>
    <w:rsid w:val="00E07C22"/>
    <w:rsid w:val="00E12C87"/>
    <w:rsid w:val="00E2607D"/>
    <w:rsid w:val="00E3571A"/>
    <w:rsid w:val="00E53A9A"/>
    <w:rsid w:val="00E608FB"/>
    <w:rsid w:val="00E67B25"/>
    <w:rsid w:val="00E95596"/>
    <w:rsid w:val="00EB20E2"/>
    <w:rsid w:val="00EB4E3A"/>
    <w:rsid w:val="00EC63F9"/>
    <w:rsid w:val="00EE7ABE"/>
    <w:rsid w:val="00EF1474"/>
    <w:rsid w:val="00EF2886"/>
    <w:rsid w:val="00EF3FFE"/>
    <w:rsid w:val="00EF6833"/>
    <w:rsid w:val="00F245EA"/>
    <w:rsid w:val="00F26192"/>
    <w:rsid w:val="00F3648D"/>
    <w:rsid w:val="00F373AC"/>
    <w:rsid w:val="00F42869"/>
    <w:rsid w:val="00F56CCE"/>
    <w:rsid w:val="00F56EDD"/>
    <w:rsid w:val="00F60E05"/>
    <w:rsid w:val="00F64CDF"/>
    <w:rsid w:val="00F70EEC"/>
    <w:rsid w:val="00F73702"/>
    <w:rsid w:val="00F741A9"/>
    <w:rsid w:val="00F743D2"/>
    <w:rsid w:val="00FA4130"/>
    <w:rsid w:val="00FA4659"/>
    <w:rsid w:val="00FA7529"/>
    <w:rsid w:val="00FB4891"/>
    <w:rsid w:val="00FB567A"/>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8F47230-4B44-4266-BD2A-A6EAB11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6ACE-1B82-4A48-940F-5A5FE1D2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Alan Jones</cp:lastModifiedBy>
  <cp:revision>15</cp:revision>
  <cp:lastPrinted>2015-03-09T12:55:00Z</cp:lastPrinted>
  <dcterms:created xsi:type="dcterms:W3CDTF">2015-12-06T19:50:00Z</dcterms:created>
  <dcterms:modified xsi:type="dcterms:W3CDTF">2016-03-08T19:58:00Z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1720176888</vt:i4>
  </property>
  <property fmtid="{D5CDD505-2E9C-101B-9397-08002B2CF9AE}" pid="3" name="_NewReviewCycle">
    <vt:lpwstr/>
  </property>
  <property fmtid="{D5CDD505-2E9C-101B-9397-08002B2CF9AE}" pid="4" name="_EmailSubject">
    <vt:lpwstr>Trust accounts</vt:lpwstr>
  </property>
  <property fmtid="{D5CDD505-2E9C-101B-9397-08002B2CF9AE}" pid="5" name="_AuthorEmail">
    <vt:lpwstr>alan.jones@siemens.com</vt:lpwstr>
  </property>
  <property fmtid="{D5CDD505-2E9C-101B-9397-08002B2CF9AE}" pid="6" name="_AuthorEmailDisplayName">
    <vt:lpwstr>Jones, Alan</vt:lpwstr>
  </property>
  <property fmtid="{D5CDD505-2E9C-101B-9397-08002B2CF9AE}" pid="7" name="_ReviewingToolsShownOnce">
    <vt:lpwstr/>
  </property>
</Properties>
</file>